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Trading securities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Available-for-sale   ·   positive   ·   Held-to-maturity   ·   management's   ·   shares   ·   classifies   ·   bought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a security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   ·   recognizes   ·   exceptions   ·   standard   ·   security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same bond can be trading, AFS or HTM. </w:t>
      </w:r>
      <w:r>
        <w:rPr>
          <w:sz w:val="19"/>
          <w:szCs w:val="19"/>
        </w:rPr>
        <w:t xml:space="preserve">Read the facts about intent and ability. </w:t>
      </w:r>
      <w:r>
        <w:rPr>
          <w:sz w:val="19"/>
          <w:szCs w:val="19"/>
        </w:rPr>
        <w:t xml:space="preserve">A company that might sell when rates change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use HTM. </w:t>
      </w:r>
      <w:r>
        <w:rPr>
          <w:sz w:val="19"/>
          <w:szCs w:val="19"/>
        </w:rPr>
        <w:t xml:space="preserve">Equity securities are never trading, AFS or HTM under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cannot   ·   securities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أداة دين (سند)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Held-to-maturity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fair value option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Trading and AFS securities are reported at fair value: the price the company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if it sold the security in an orderly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HTM securities are reported at amortized cost. </w:t>
      </w:r>
      <w:r>
        <w:rPr>
          <w:sz w:val="19"/>
          <w:szCs w:val="19"/>
        </w:rPr>
        <w:t xml:space="preserve">The main difference between trading and AFS is where the unrealized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 or loss goes. </w:t>
      </w:r>
      <w:r>
        <w:rPr>
          <w:sz w:val="19"/>
          <w:szCs w:val="19"/>
        </w:rPr>
        <w:t xml:space="preserve">For trading it goes to net income. </w:t>
      </w:r>
      <w:r>
        <w:rPr>
          <w:sz w:val="19"/>
          <w:szCs w:val="19"/>
        </w:rPr>
        <w:t xml:space="preserve">For AFS it goes to 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comprehensive   ·   transaction   ·   holding   ·   receive   ·   between</w:t>
            </w:r>
          </w:p>
        </w:tc>
      </w:tr>
    </w:tbl>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Held-to-maturity (debt)   ·   debt security</w:t>
            </w:r>
          </w:p>
        </w:tc>
      </w:tr>
    </w:tbl>
    <w:p/>
    <w:p>
      <w:pPr>
        <w:spacing w:before="44" w:after="14"/>
      </w:pPr>
      <w:r>
        <w:rPr>
          <w:b/>
          <w:bCs/>
          <w:color w:val="353A7C"/>
          <w:sz w:val="18"/>
          <w:szCs w:val="18"/>
        </w:rPr>
        <w:t xml:space="preserve">Summary 2</w:t>
      </w:r>
      <w:r>
        <w:rPr>
          <w:color w:val="6B7280"/>
          <w:sz w:val="16"/>
          <w:szCs w:val="16"/>
        </w:rPr>
        <w:t xml:space="preserve">      gaps 7–13</w:t>
      </w:r>
    </w:p>
    <w:p>
      <w:pPr>
        <w:spacing w:before="20" w:after="20" w:line="360" w:lineRule="auto"/>
        <w:ind w:left="200"/>
      </w:pPr>
      <w:r>
        <w:rPr>
          <w:sz w:val="19"/>
          <w:szCs w:val="19"/>
        </w:rPr>
        <w:t xml:space="preserve">A bond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difference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premium or discount, so the carrying amount moves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orderly   ·   toward   ·   bought   ·   higher   ·   received   ·   purchase   ·   effective-interest   ·   amortizes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On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premium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sometimes   ·   December   ·   January</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debt security   ·   Cash interest</w:t>
            </w:r>
          </w:p>
        </w:tc>
      </w:tr>
    </w:tbl>
    <w:p/>
    <w:p>
      <w:pPr>
        <w:spacing w:before="44" w:after="14"/>
      </w:pPr>
      <w:r>
        <w:rPr>
          <w:b/>
          <w:bCs/>
          <w:color w:val="353A7C"/>
          <w:sz w:val="18"/>
          <w:szCs w:val="18"/>
        </w:rPr>
        <w:t xml:space="preserve">Summary 4</w:t>
      </w:r>
      <w:r>
        <w:rPr>
          <w:color w:val="6B7280"/>
          <w:sz w:val="16"/>
          <w:szCs w:val="16"/>
        </w:rPr>
        <w:t xml:space="preserve">      gaps 17–18</w:t>
      </w:r>
    </w:p>
    <w:p>
      <w:pPr>
        <w:spacing w:before="20" w:after="20" w:line="360" w:lineRule="auto"/>
        <w:ind w:left="200"/>
      </w:pPr>
      <w:r>
        <w:rPr>
          <w:sz w:val="19"/>
          <w:szCs w:val="19"/>
        </w:rPr>
        <w:t xml:space="preserve">In 2025,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year-end   ·   sometimes</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76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holding gain or loss   ·   Amortized cost at Dec 31, 2025</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20–30</w:t>
      </w:r>
    </w:p>
    <w:p>
      <w:pPr>
        <w:spacing w:before="20" w:after="20" w:line="360" w:lineRule="auto"/>
        <w:ind w:left="200"/>
      </w:pPr>
      <w:r>
        <w:rPr>
          <w:sz w:val="19"/>
          <w:szCs w:val="19"/>
        </w:rPr>
        <w:t xml:space="preserve">Interest revenue is the same in all three categories. </w:t>
      </w:r>
      <w:r>
        <w:rPr>
          <w:sz w:val="19"/>
          <w:szCs w:val="19"/>
        </w:rPr>
        <w:t xml:space="preserve">Only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between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remaining   ·   reclassification   ·   differ   ·   sometimes   ·   immediately   ·   discount   ·   should   ·   returns   ·   counted   ·   equity   ·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6</w:t>
      </w:r>
      <w:r>
        <w:rPr>
          <w:color w:val="6B7280"/>
          <w:sz w:val="16"/>
          <w:szCs w:val="16"/>
        </w:rPr>
        <w:t xml:space="preserve">      gaps 31–33</w:t>
      </w:r>
    </w:p>
    <w:p>
      <w:pPr>
        <w:spacing w:before="20" w:after="20" w:line="360" w:lineRule="auto"/>
        <w:ind w:left="200"/>
      </w:pPr>
      <w:r>
        <w:rPr>
          <w:sz w:val="19"/>
          <w:szCs w:val="19"/>
        </w:rPr>
        <w:t xml:space="preserve">Trading: fair value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accumulated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remaining   ·   beginning   ·   recycle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 cost at Dec 31,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Cash interest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Trading and AFS securities are reported at fair value: the price the company would receive if it sold the security in an orderly transaction. HTM securities are reported at amortized cost. The main difference between trading and AFS is where the unrealized holding gain or loss goes. For trading it goes to net income. For AFS it goes to other comprehensive income (OCI).</w:t>
      </w:r>
    </w:p>
    <w:p>
      <w:pPr>
        <w:spacing w:before="20" w:after="20"/>
        <w:ind w:left="240" w:hanging="240"/>
      </w:pPr>
      <w:r>
        <w:rPr>
          <w:b/>
          <w:bCs/>
          <w:color w:val="353A7C"/>
          <w:sz w:val="15"/>
          <w:szCs w:val="15"/>
        </w:rPr>
        <w:t xml:space="preserve">Summary 2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3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4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5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6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expected credit losses from day one. </w:t>
      </w:r>
      <w:r>
        <w:rPr>
          <w:sz w:val="19"/>
          <w:szCs w:val="19"/>
        </w:rPr>
        <w:t xml:space="preserve">For very safe bonds, such as U.S.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model. </w:t>
      </w:r>
      <w:r>
        <w:rPr>
          <w:sz w:val="19"/>
          <w:szCs w:val="19"/>
        </w:rPr>
        <w:t xml:space="preserve">A security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when its fair value is below its amortized cost. </w:t>
      </w:r>
      <w:r>
        <w:rPr>
          <w:sz w:val="19"/>
          <w:szCs w:val="19"/>
        </w:rPr>
        <w:t xml:space="preserve">The credit part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an allowance through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recorded   ·   Otherwise   ·   different   ·   impaired   ·   Treasury   ·   lifetime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11–15</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decline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Otherwise   ·   limited   ·   reversed   ·   Nothing   ·   improves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AFS allowance ≤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lifetime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impaired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measured at fair value, and all changes go to net income. </w:t>
      </w:r>
      <w:r>
        <w:rPr>
          <w:sz w:val="19"/>
          <w:szCs w:val="19"/>
        </w:rPr>
        <w:t xml:space="preserve">There is no AFS category and no OCI option for shares. </w:t>
      </w:r>
      <w:r>
        <w:rPr>
          <w:sz w:val="19"/>
          <w:szCs w:val="19"/>
        </w:rPr>
        <w:t xml:space="preserve">Dividends received are income. </w:t>
      </w:r>
      <w:r>
        <w:rPr>
          <w:sz w:val="19"/>
          <w:szCs w:val="19"/>
        </w:rPr>
        <w:t xml:space="preserve">For example, Orontes bought listed shares for $20,000;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 of $3,500 and dividend income of $400. </w:t>
      </w:r>
      <w:r>
        <w:rPr>
          <w:sz w:val="19"/>
          <w:szCs w:val="19"/>
        </w:rPr>
        <w:t xml:space="preserve">For shares with no readily determinable fair value, such as shares of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company, the investor may use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alternative: cost minus impairment,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when an orderly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the same or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share shows a new price. </w:t>
      </w:r>
      <w:r>
        <w:rPr>
          <w:sz w:val="19"/>
          <w:szCs w:val="19"/>
        </w:rPr>
        <w:t xml:space="preserve">An investor with significant influence can take part in the investee's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year-end   ·   similar   ·   unrealized   ·   financial   ·   transaction   ·   measurement   ·   adjusted   ·   private   ·   question   ·   operating</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Influence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when the investor holds 20% to 50% of the voting stock, but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decides: a board seat,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significant influence, the investor uses the equity method. </w:t>
      </w:r>
      <w:r>
        <w:rPr>
          <w:sz w:val="19"/>
          <w:szCs w:val="19"/>
        </w:rPr>
        <w:t xml:space="preserve">Under the equity method, the investment starts at cost. </w:t>
      </w:r>
      <w:r>
        <w:rPr>
          <w:sz w:val="19"/>
          <w:szCs w:val="19"/>
        </w:rPr>
        <w:t xml:space="preserve">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the investor's share of the investee's net income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the dividends the investor receives. </w:t>
      </w:r>
      <w:r>
        <w:rPr>
          <w:sz w:val="19"/>
          <w:szCs w:val="19"/>
        </w:rPr>
        <w:t xml:space="preserve">The dividends are not income,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presumed   ·   decisions   ·   decreases   ·   evidence   ·   because   ·   transactions   ·   increases   ·   participation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difference of $300,000 has two parts: $30,000 for Orontes's share of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In 2025 Jordan Glass earns $500,000 and pays dividends of $200,000. </w:t>
      </w:r>
      <w:r>
        <w:rPr>
          <w:sz w:val="19"/>
          <w:szCs w:val="19"/>
        </w:rPr>
        <w:t xml:space="preserve">Orontes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equity-method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equipment   ·   change   ·   depreciated   ·   Glass's   ·   private   ·   January   ·   reports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24–35</w:t>
      </w:r>
    </w:p>
    <w:p>
      <w:pPr>
        <w:spacing w:before="20" w:after="20" w:line="360" w:lineRule="auto"/>
        <w:ind w:left="200"/>
      </w:pPr>
      <w:r>
        <w:rPr>
          <w:sz w:val="19"/>
          <w:szCs w:val="19"/>
        </w:rPr>
        <w:t xml:space="preserve">In 2026 Jordan Glass earns $400,000 and pays dividends of $100,000. </w:t>
      </w:r>
      <w:r>
        <w:rPr>
          <w:sz w:val="19"/>
          <w:szCs w:val="19"/>
        </w:rPr>
        <w:t xml:space="preserve">The extra depreciation is the same as in 2025. </w:t>
      </w:r>
      <w:r>
        <w:rPr>
          <w:sz w:val="19"/>
          <w:szCs w:val="19"/>
        </w:rPr>
        <w:t xml:space="preserve">Three more equity-method rules appear in exam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reduce the investment only to zero,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investor has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until the goods are sold to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And when an investor first gains significant influence, it starts the equity method from that date; it does not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can later be written back up; under U.S. GAAP the impairment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guaranteed   ·   readily   ·   questions   ·   eliminated   ·   irrevocable   ·   restate   ·   definition   ·   impaired   ·   effective   ·   unless   ·   outsiders   ·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36–38</w:t>
      </w:r>
    </w:p>
    <w:p>
      <w:pPr>
        <w:spacing w:before="20" w:after="20" w:line="360" w:lineRule="auto"/>
        <w:ind w:left="200"/>
      </w:pPr>
      <w:r>
        <w:rPr>
          <w:sz w:val="19"/>
          <w:szCs w:val="19"/>
        </w:rPr>
        <w:t xml:space="preserve">Equity method: dividends reduce the investment. </w:t>
      </w:r>
      <w:r>
        <w:rPr>
          <w:sz w:val="19"/>
          <w:szCs w:val="19"/>
        </w:rPr>
        <w:t xml:space="preserve">They are not income. </w:t>
      </w:r>
      <w:r>
        <w:rPr>
          <w:sz w:val="19"/>
          <w:szCs w:val="19"/>
        </w:rPr>
        <w:t xml:space="preserve">Take only the investor's share of the investee's income. </w:t>
      </w:r>
      <w:r>
        <w:rPr>
          <w:sz w:val="19"/>
          <w:szCs w:val="19"/>
        </w:rPr>
        <w:t xml:space="preserve"/>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the part of the basis difference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to assets; do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Depreciate   ·   orderly   ·   amortize   ·   assigned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205"/>
        <w:gridCol w:w="4224"/>
        <w:gridCol w:w="208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48"/>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083"/>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148"/>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team trades it actively.</w:t>
            </w:r>
          </w:p>
        </w:tc>
        <w:tc>
          <w:tcPr>
            <w:tcW w:type="pct" w:w="1083"/>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148"/>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intends and is able to hold it until it matures in 2029.</w:t>
            </w:r>
          </w:p>
        </w:tc>
        <w:tc>
          <w:tcPr>
            <w:tcW w:type="pct" w:w="1083"/>
            <w:shd w:fill="FFFFFF" w:val="clear"/>
            <w:tcMar>
              <w:top w:type="dxa" w:w="50"/>
              <w:left w:type="dxa" w:w="110"/>
              <w:bottom w:type="dxa" w:w="50"/>
              <w:right w:type="dxa" w:w="110"/>
            </w:tcMar>
          </w:tcPr>
          <w:p>
            <w:pPr>
              <w:spacing w:before="46" w:after="46"/>
            </w:pPr>
            <w:r>
              <w:rPr>
                <w:b/>
                <w:bCs/>
                <w:color w:val="8186EF"/>
                <w:sz w:val="14"/>
                <w:szCs w:val="14"/>
              </w:rPr>
              <w:t xml:space="preserve">(40)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148"/>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083"/>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148"/>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083"/>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148"/>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0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cost 60,000; fair value 57,000   ·   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60,000; fair value 57,000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tcMar>
              <w:top w:type="dxa" w:w="50"/>
              <w:left w:type="dxa" w:w="110"/>
              <w:bottom w:type="dxa" w:w="50"/>
              <w:right w:type="dxa" w:w="110"/>
            </w:tcMar>
          </w:tcPr>
          <w:p>
            <w:pPr>
              <w:spacing w:before="28" w:after="28"/>
            </w:pPr>
            <w:r>
              <w:rPr>
                <w:sz w:val="15"/>
                <w:szCs w:val="15"/>
              </w:rPr>
              <w:t xml:space="preserve">Trading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tcMar>
              <w:top w:type="dxa" w:w="50"/>
              <w:left w:type="dxa" w:w="110"/>
              <w:bottom w:type="dxa" w:w="50"/>
              <w:right w:type="dxa" w:w="110"/>
            </w:tcMar>
          </w:tcPr>
          <w:p>
            <w:pPr>
              <w:spacing w:before="28" w:after="28"/>
            </w:pPr>
            <w:r>
              <w:rPr>
                <w:sz w:val="15"/>
                <w:szCs w:val="15"/>
              </w:rPr>
              <w:t xml:space="preserve">Equity method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Item   ·   Held-to-maturity   ·   Available-for-sale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unless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private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outsiders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presumed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impaired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assigned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decreases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cost 60,000; fair value 57,000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measurement 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Losses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3d6d583445e81aedf1f7b8b157a9d6569acfa7.png" Type="http://schemas.openxmlformats.org/officeDocument/2006/relationships/image"/><Relationship Id="rId102" Target="media/c3461e61b5b88345f64a50e11dc6f4fab5432d48.png" Type="http://schemas.openxmlformats.org/officeDocument/2006/relationships/image"/><Relationship Id="rId103" Target="media/f03c335bd0130b7ecfd59dcaef50138b4822c26f.png" Type="http://schemas.openxmlformats.org/officeDocument/2006/relationships/image"/><Relationship Id="rId104" Target="media/b48f7496b8efea08c8fa891524f76473fab7cb94.png" Type="http://schemas.openxmlformats.org/officeDocument/2006/relationships/image"/><Relationship Id="rId105" Target="media/03e21fed1297395bc5f085b3291e9b71d29a5695.png" Type="http://schemas.openxmlformats.org/officeDocument/2006/relationships/image"/><Relationship Id="rId106" Target="media/23105ca99c5ea3c2ed572af505b0817f15bddb21.png" Type="http://schemas.openxmlformats.org/officeDocument/2006/relationships/image"/><Relationship Id="rId107" Target="media/683bc8aad0b67e817be65e6f6237919d39e2416a.png" Type="http://schemas.openxmlformats.org/officeDocument/2006/relationships/image"/><Relationship Id="rId108" Target="media/55bd2624618e7a47bfabd485d538c4c9645750d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dc:title>
  <dc:subject>Summary handouts</dc:subject>
  <cp:category>Student Book</cp:category>
</cp:coreProperties>
</file>