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numbering+xml" PartName="/word/numbering.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package.core-properties+xml" PartName="/docProps/cor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body>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10.1  The cost of property, plant and equipment</w:t>
            </w:r>
          </w:p>
          <w:p>
            <w:pPr>
              <w:spacing w:before="0" w:after="46"/>
            </w:pPr>
            <w:r>
              <w:rPr>
                <w:color w:val="E8EAF6"/>
                <w:sz w:val="16"/>
                <w:szCs w:val="16"/>
              </w:rPr>
              <w:t xml:space="preserve">Chapter 10 · section 10.1</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Chapter 10, section by section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196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5734050" cy="19692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Impairment of long-lived assets, intangibles a   ·   change in accounting estimate   ·   Depreciation methods and their effects</w:t>
            </w:r>
          </w:p>
        </w:tc>
      </w:tr>
    </w:tbl>
    <w:p/>
    <w:p>
      <w:pPr>
        <w:spacing w:before="44" w:after="14"/>
      </w:pPr>
      <w:r>
        <w:rPr>
          <w:b/>
          <w:bCs/>
          <w:color w:val="353A7C"/>
          <w:sz w:val="18"/>
          <w:szCs w:val="18"/>
        </w:rPr>
        <w:t xml:space="preserve">Summary 1</w:t>
      </w:r>
      <w:r>
        <w:rPr>
          <w:color w:val="6B7280"/>
          <w:sz w:val="16"/>
          <w:szCs w:val="16"/>
        </w:rPr>
        <w:t xml:space="preserve">      gaps 3–14</w:t>
      </w:r>
    </w:p>
    <w:p>
      <w:pPr>
        <w:spacing w:before="20" w:after="20" w:line="360" w:lineRule="auto"/>
        <w:ind w:left="200"/>
      </w:pPr>
      <w:r>
        <w:rPr>
          <w:sz w:val="19"/>
          <w:szCs w:val="19"/>
        </w:rPr>
        <w:t xml:space="preserve">Property, plant and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(PP&amp;E) is recorded at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cost: everything needed to acquire the asset and get it ready for use. </w:t>
      </w:r>
      <w:r>
        <w:rPr>
          <w:sz w:val="19"/>
          <w:szCs w:val="19"/>
        </w:rPr>
        <w:t xml:space="preserve">This includes the price, freight,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testing and site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w:t>
      </w:r>
      <w:r>
        <w:rPr>
          <w:sz w:val="19"/>
          <w:szCs w:val="19"/>
        </w:rPr>
        <w:t xml:space="preserve">When a company buys land with an old building and pulls the building down, the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cost is part of the cost of the land. </w:t>
      </w:r>
      <w:r>
        <w:rPr>
          <w:sz w:val="19"/>
          <w:szCs w:val="19"/>
        </w:rPr>
        <w:t xml:space="preserve">When it buys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assets for one price, it divides the price by their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fair values. </w:t>
      </w:r>
      <w:r>
        <w:rPr>
          <w:sz w:val="19"/>
          <w:szCs w:val="19"/>
        </w:rPr>
        <w:t xml:space="preserve">After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a capital expenditure that extends the asset's life or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its capacity is added to its cost. </w:t>
      </w:r>
      <w:r>
        <w:rPr>
          <w:sz w:val="19"/>
          <w:szCs w:val="19"/>
        </w:rPr>
        <w:t xml:space="preserve">A revenue expenditure, such as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repairs and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is an expense of the period. </w:t>
      </w:r>
      <w:r>
        <w:rPr>
          <w:sz w:val="19"/>
          <w:szCs w:val="19"/>
        </w:rPr>
        <w:t xml:space="preserve">When a company builds an asset for its own use, it capitalizes interest during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w:t>
      </w:r>
      <w:r>
        <w:rPr>
          <w:sz w:val="19"/>
          <w:szCs w:val="19"/>
        </w:rPr>
        <w:t xml:space="preserve">Capitalized interest is the avoidable interest: weighted-average accumulated expenditures × the interest rate, but never more than the interest actually incurred. </w:t>
      </w:r>
      <w:r>
        <w:rPr>
          <w:sz w:val="19"/>
          <w:szCs w:val="19"/>
        </w:rPr>
        <w:t xml:space="preserve">For example, if Orontes spends on average $2,000 (USD 000) on a new warehouse during the year and the rate on the related loan is 6%, avoidable interest is 120.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increases   ·   acquire   ·   equipment   ·   demolition   ·   maintenance   ·   purchase   ·   several   ·   relative   ·   construction   ·   installation   ·   historical   ·   ordinary   ·   preparation</w:t>
            </w:r>
          </w:p>
        </w:tc>
      </w:tr>
    </w:tbl>
    <w:p/>
    <w:p>
      <w:pPr>
        <w:spacing w:before="44" w:after="14"/>
      </w:pPr>
      <w:r>
        <w:rPr>
          <w:b/>
          <w:bCs/>
          <w:color w:val="353A7C"/>
          <w:sz w:val="18"/>
          <w:szCs w:val="18"/>
        </w:rPr>
        <w:t xml:space="preserve">Summary 2</w:t>
      </w:r>
      <w:r>
        <w:rPr>
          <w:color w:val="6B7280"/>
          <w:sz w:val="16"/>
          <w:szCs w:val="16"/>
        </w:rPr>
        <w:t xml:space="preserve">      gaps 15–19</w:t>
      </w:r>
    </w:p>
    <w:p>
      <w:pPr>
        <w:spacing w:before="20" w:after="20" w:line="360" w:lineRule="auto"/>
        <w:ind w:left="200"/>
      </w:pPr>
      <w:r>
        <w:rPr>
          <w:sz w:val="19"/>
          <w:szCs w:val="19"/>
        </w:rPr>
        <w:t xml:space="preserve">Actual interest is 150, so Orontes capitalizes 120. </w:t>
      </w:r>
      <w:r>
        <w:rPr>
          <w:sz w:val="19"/>
          <w:szCs w:val="19"/>
        </w:rPr>
        <w:t xml:space="preserve"/>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stops when the asset is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complete. </w:t>
      </w:r>
      <w:r>
        <w:rPr>
          <w:sz w:val="19"/>
          <w:szCs w:val="19"/>
        </w:rPr>
        <w:t xml:space="preserve">IAS 23 also capitalizes borrowing costs on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assets. </w:t>
      </w:r>
      <w:r>
        <w:rPr>
          <w:sz w:val="19"/>
          <w:szCs w:val="19"/>
        </w:rPr>
        <w:t xml:space="preserve">One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when a company invests borrowed money for a short time before spending it, IAS 23 deducts the investment income from the amount capitalized. </w:t>
      </w:r>
      <w:r>
        <w:rPr>
          <w:sz w:val="19"/>
          <w:szCs w:val="19"/>
        </w:rPr>
        <w:t xml:space="preserve">U.S. GAAP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does not.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substantially   ·   generally   ·   Capitalization   ·   recorded   ·   qualifying   ·   difference</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42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734050" cy="24218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revenue expenditure   ·   capital expenditure   ·   property, plant and equipment (PP&amp;E)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property, plant and equipment (PP&amp;E)</w:t>
            </w:r>
          </w:p>
        </w:tc>
        <w:tc>
          <w:tcPr>
            <w:tcW w:type="pct" w:w="2400"/>
            <w:tcMar>
              <w:top w:type="dxa" w:w="50"/>
              <w:left w:type="dxa" w:w="110"/>
              <w:bottom w:type="dxa" w:w="50"/>
              <w:right w:type="dxa" w:w="110"/>
            </w:tcMar>
          </w:tcPr>
          <w:p>
            <w:pPr>
              <w:spacing w:before="26" w:after="26"/>
            </w:pPr>
            <w:r>
              <w:rPr>
                <w:color w:val="232733"/>
                <w:sz w:val="16"/>
                <w:szCs w:val="16"/>
              </w:rPr>
              <w:t xml:space="preserve">العقارات والآلات والمعدات</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capital expenditure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نفقة رأسمالية</w:t>
            </w:r>
          </w:p>
        </w:tc>
      </w:tr>
      <w:tr>
        <w:tc>
          <w:tcPr>
            <w:tcW w:type="pct" w:w="2600"/>
            <w:tcMar>
              <w:top w:type="dxa" w:w="50"/>
              <w:left w:type="dxa" w:w="110"/>
              <w:bottom w:type="dxa" w:w="50"/>
              <w:right w:type="dxa" w:w="110"/>
            </w:tcMar>
          </w:tcPr>
          <w:p>
            <w:pPr>
              <w:spacing w:before="26" w:after="26"/>
            </w:pPr>
            <w:r>
              <w:rPr>
                <w:color w:val="232733"/>
                <w:sz w:val="16"/>
                <w:szCs w:val="16"/>
              </w:rPr>
              <w:t xml:space="preserve">revenue expenditure</w:t>
            </w:r>
          </w:p>
        </w:tc>
        <w:tc>
          <w:tcPr>
            <w:tcW w:type="pct" w:w="2400"/>
            <w:tcMar>
              <w:top w:type="dxa" w:w="50"/>
              <w:left w:type="dxa" w:w="110"/>
              <w:bottom w:type="dxa" w:w="50"/>
              <w:right w:type="dxa" w:w="110"/>
            </w:tcMar>
          </w:tcPr>
          <w:p>
            <w:pPr>
              <w:spacing w:before="26" w:after="26"/>
            </w:pPr>
            <w:r>
              <w:rPr>
                <w:color w:val="232733"/>
                <w:sz w:val="16"/>
                <w:szCs w:val="16"/>
              </w:rPr>
              <w:t xml:space="preserve">نفقة إيرادية</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capitalized interest</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الفائدة المرسملة</w:t>
            </w:r>
          </w:p>
        </w:tc>
      </w:tr>
    </w:tbl>
    <w:p/>
    <w:p>
      <w:pPr>
        <w:sectPr>
          <w:headerReference w:type="default" r:id="rIdHdr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10.1  The cost of property, plant and equipment</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Depreciation methods and their effects</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ordinary</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Impairment of long-lived assets, intangibles a</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maintenance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equipment</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construction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historical</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Capitalization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installation</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substantially</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preparation</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qualifying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demolition</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difference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several</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generally</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relative</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property, plant and equipment (PP&amp;E)</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purchase</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capital expenditure</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increases</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Property, plant and equipment (PP&amp;E) is recorded at historical cost: everything needed to acquire the asset and get it ready for use. This includes the price, freight, installation, testing and site preparation. When a company buys land with an old building and pulls the building down, the demolition cost is part of the cost of the land. When it buys several assets for one price, it divides the price by their relative fair values. After purchase, a capital expenditure that extends the asset's life or increases its capacity is added to its cost. A revenue expenditure, such as ordinary repairs and maintenance, is an expense of the period. When a company builds an asset for its own use, it capitalizes interest during construction. Capitalized interest is the avoidable interest: weighted-average accumulated expenditures × the interest rate, but never more than the interest actually incurred. For example, if Orontes spends on average $2,000 (USD 000) on a new warehouse during the year and the rate on the related loan is 6%, avoidable interest is 120.</w:t>
      </w:r>
    </w:p>
    <w:p>
      <w:pPr>
        <w:spacing w:before="20" w:after="20"/>
        <w:ind w:left="240" w:hanging="240"/>
      </w:pPr>
      <w:r>
        <w:rPr>
          <w:b/>
          <w:bCs/>
          <w:color w:val="353A7C"/>
          <w:sz w:val="15"/>
          <w:szCs w:val="15"/>
        </w:rPr>
        <w:t xml:space="preserve">Summary 2   </w:t>
      </w:r>
      <w:r>
        <w:rPr>
          <w:color w:val="6B7280"/>
          <w:sz w:val="15"/>
          <w:szCs w:val="15"/>
        </w:rPr>
        <w:t xml:space="preserve">Actual interest is 150, so Orontes capitalizes 120. Capitalization stops when the asset is substantially complete. IAS 23 also capitalizes borrowing costs on qualifying assets. One difference: when a company invests borrowed money for a short time before spending it, IAS 23 deducts the investment income from the amount capitalized. U.S. GAAP generally does not.</w:t>
      </w:r>
    </w:p>
    <w:p>
      <w:pPr>
        <w:sectPr>
          <w:headerReference w:type="default" r:id="rIdHdr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10.2  Depreciation methods and their effects</w:t>
            </w:r>
          </w:p>
          <w:p>
            <w:pPr>
              <w:spacing w:before="0" w:after="46"/>
            </w:pPr>
            <w:r>
              <w:rPr>
                <w:color w:val="E8EAF6"/>
                <w:sz w:val="16"/>
                <w:szCs w:val="16"/>
              </w:rPr>
              <w:t xml:space="preserve">Chapter 10 · section 10.2</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1–8</w:t>
      </w:r>
    </w:p>
    <w:p>
      <w:pPr>
        <w:spacing w:before="20" w:after="20" w:line="360" w:lineRule="auto"/>
        <w:ind w:left="200"/>
      </w:pPr>
      <w:r>
        <w:rPr>
          <w:sz w:val="19"/>
          <w:szCs w:val="19"/>
        </w:rPr>
        <w:t xml:space="preserve">Depreciation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the depreciable base, cost minus salvage value, over the useful life in a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and rational way. </w:t>
      </w:r>
      <w:r>
        <w:rPr>
          <w:sz w:val="19"/>
          <w:szCs w:val="19"/>
        </w:rPr>
        <w:t xml:space="preserve">Four methods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on the exam. </w:t>
      </w:r>
      <w:r>
        <w:rPr>
          <w:sz w:val="19"/>
          <w:szCs w:val="19"/>
        </w:rPr>
        <w:t xml:space="preserve">Straight-line method: the same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each year, depreciable base ÷ useful life. </w:t>
      </w:r>
      <w:r>
        <w:rPr>
          <w:sz w:val="19"/>
          <w:szCs w:val="19"/>
        </w:rPr>
        <w:t xml:space="preserve"/>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method: twice the straight-line rate, applied to the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book value. </w:t>
      </w:r>
      <w:r>
        <w:rPr>
          <w:sz w:val="19"/>
          <w:szCs w:val="19"/>
        </w:rPr>
        <w:t xml:space="preserve">Salvage is ignored in the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but the book value may not fall below salvage. </w:t>
      </w:r>
      <w:r>
        <w:rPr>
          <w:sz w:val="19"/>
          <w:szCs w:val="19"/>
        </w:rPr>
        <w:t xml:space="preserve">Sum-of-the-years'-digits method: depreciable base × remaining life at the start of the year ÷ the sum of the years' digits. </w:t>
      </w:r>
      <w:r>
        <w:rPr>
          <w:sz w:val="19"/>
          <w:szCs w:val="19"/>
        </w:rPr>
        <w:t xml:space="preserve"/>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method: a rate per unit or hour of use, times actual use.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Units-of-production   ·   calculation   ·   beginning   ·   Double-declining-balance   ·   amount   ·   appear   ·   systematic   ·   separately   ·   spreads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The Amman bottling line</w:t>
            </w:r>
          </w:p>
        </w:tc>
      </w:tr>
    </w:tbl>
    <w:p/>
    <w:p>
      <w:pPr>
        <w:spacing w:before="44" w:after="14"/>
      </w:pPr>
      <w:r>
        <w:rPr>
          <w:b/>
          <w:bCs/>
          <w:color w:val="353A7C"/>
          <w:sz w:val="18"/>
          <w:szCs w:val="18"/>
        </w:rPr>
        <w:t xml:space="preserve">Summary 2</w:t>
      </w:r>
      <w:r>
        <w:rPr>
          <w:color w:val="6B7280"/>
          <w:sz w:val="16"/>
          <w:szCs w:val="16"/>
        </w:rPr>
        <w:t xml:space="preserve">      gaps 9–15</w:t>
      </w:r>
    </w:p>
    <w:p>
      <w:pPr>
        <w:spacing w:before="20" w:after="20" w:line="360" w:lineRule="auto"/>
        <w:ind w:left="200"/>
      </w:pPr>
      <w:r>
        <w:rPr>
          <w:sz w:val="19"/>
          <w:szCs w:val="19"/>
        </w:rPr>
        <w:t xml:space="preserve">In, Orontes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a new bottling line for its Amman plant. </w:t>
      </w:r>
      <w:r>
        <w:rPr>
          <w:sz w:val="19"/>
          <w:szCs w:val="19"/>
        </w:rPr>
        <w:t xml:space="preserve">Orontes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a salvage value of $150,000 after 5 years, or after 21,000 machine hours. </w:t>
      </w:r>
      <w:r>
        <w:rPr>
          <w:sz w:val="19"/>
          <w:szCs w:val="19"/>
        </w:rPr>
        <w:t xml:space="preserve">The depreciable base is $1,050,000. </w:t>
      </w:r>
      <w:r>
        <w:rPr>
          <w:sz w:val="19"/>
          <w:szCs w:val="19"/>
        </w:rPr>
        <w:t xml:space="preserve">Straight-line: $1,050,000 ÷ 5 = $210,000 a year. </w:t>
      </w:r>
      <w:r>
        <w:rPr>
          <w:sz w:val="19"/>
          <w:szCs w:val="19"/>
        </w:rPr>
        <w:t xml:space="preserve">Double-declining: rate 40%; year 1 = 40% × $1,200,000 = $480,000. </w:t>
      </w:r>
      <w:r>
        <w:rPr>
          <w:sz w:val="19"/>
          <w:szCs w:val="19"/>
        </w:rPr>
        <w:t xml:space="preserve">In year 5 only $5,520 is left, so the book value ends at salvage. </w:t>
      </w:r>
      <w:r>
        <w:rPr>
          <w:sz w:val="19"/>
          <w:szCs w:val="19"/>
        </w:rPr>
        <w:t xml:space="preserve">Sum-of-the-years'-digits: the digits add up to 15; year 1 = $1,050,000 × 5/15 = $350,000. </w:t>
      </w:r>
      <w:r>
        <w:rPr>
          <w:sz w:val="19"/>
          <w:szCs w:val="19"/>
        </w:rPr>
        <w:t xml:space="preserve">Units of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$1,050,000 ÷ 21,000 hours = $50 an hour; year 1 = 5,000 hours × $50 = $250,000. </w:t>
      </w:r>
      <w:r>
        <w:rPr>
          <w:sz w:val="19"/>
          <w:szCs w:val="19"/>
        </w:rPr>
        <w:t xml:space="preserve">All four methods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the same total, $1,050,000. </w:t>
      </w:r>
      <w:r>
        <w:rPr>
          <w:sz w:val="19"/>
          <w:szCs w:val="19"/>
        </w:rPr>
        <w:t xml:space="preserve">They only change the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w:t>
      </w:r>
      <w:r>
        <w:rPr>
          <w:sz w:val="19"/>
          <w:szCs w:val="19"/>
        </w:rPr>
        <w:t xml:space="preserve">Depreciation is not a cash flow, so the method changes cash only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income taxes, and U.S. tax depreciation (MACRS) is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separately from the book method.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chosen   ·   charge   ·   bought   ·   through   ·   production   ·   timing   ·   expects   ·   Depreciation</w:t>
            </w:r>
          </w:p>
        </w:tc>
      </w:tr>
    </w:tbl>
    <w:p/>
    <w:p>
      <w:pPr>
        <w:pageBreakBefore w:val="true"/>
        <w:spacing w:after="0"/>
      </w:pPr>
      <w:r>
        <w:rPr>
          <w:sz w:val="2"/>
        </w:rPr>
        <w:t xml:space="preserve"> </w:t>
      </w:r>
    </w:p>
    <w:p>
      <w:pPr>
        <w:spacing w:before="44" w:after="10"/>
      </w:pPr>
      <w:r>
        <w:rPr>
          <w:b/>
          <w:bCs/>
          <w:color w:val="353A7C"/>
          <w:sz w:val="18"/>
          <w:szCs w:val="18"/>
        </w:rPr>
        <w:t xml:space="preserve">Effects of the depreciation methods on the financial statements</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358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734050" cy="35837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research and development (R&amp;D)   ·   Expense in early years   ·   Carrying amount in early years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Dubai delivery trucks</w:t>
            </w:r>
          </w:p>
        </w:tc>
      </w:tr>
    </w:tbl>
    <w:p/>
    <w:p>
      <w:pPr>
        <w:spacing w:before="44" w:after="14"/>
      </w:pPr>
      <w:r>
        <w:rPr>
          <w:b/>
          <w:bCs/>
          <w:color w:val="353A7C"/>
          <w:sz w:val="18"/>
          <w:szCs w:val="18"/>
        </w:rPr>
        <w:t xml:space="preserve">Summary 3</w:t>
      </w:r>
      <w:r>
        <w:rPr>
          <w:color w:val="6B7280"/>
          <w:sz w:val="16"/>
          <w:szCs w:val="16"/>
        </w:rPr>
        <w:t xml:space="preserve">      gaps 18–29</w:t>
      </w:r>
    </w:p>
    <w:p>
      <w:pPr>
        <w:spacing w:before="20" w:after="20" w:line="360" w:lineRule="auto"/>
        <w:ind w:left="200"/>
      </w:pPr>
      <w:r>
        <w:rPr>
          <w:sz w:val="19"/>
          <w:szCs w:val="19"/>
        </w:rPr>
        <w:t xml:space="preserve">Orontes buys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trucks for its Dubai plant for $90,000, with a salvage value of $10,000 after 4 years. </w:t>
      </w:r>
      <w:r>
        <w:rPr>
          <w:sz w:val="19"/>
          <w:szCs w:val="19"/>
        </w:rPr>
        <w:t xml:space="preserve"/>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the double-declining </w:t>
      </w:r>
      <w:r>
        <w:rPr>
          <w:b/>
          <w:bCs/>
          <w:color w:val="8186EF"/>
          <w:sz w:val="15"/>
          <w:szCs w:val="15"/>
        </w:rPr>
        <w:t xml:space="preserve"> (20) </w:t>
      </w:r>
      <w:r>
        <w:rPr>
          <w:u w:val="single"/>
          <w:sz w:val="19"/>
          <w:szCs w:val="19"/>
        </w:rPr>
        <w:t xml:space="preserve">           </w:t>
      </w:r>
      <w:r>
        <w:rPr>
          <w:sz w:val="19"/>
          <w:szCs w:val="19"/>
        </w:rPr>
        <w:t xml:space="preserve"> </w:t>
      </w:r>
      <w:r>
        <w:rPr>
          <w:sz w:val="19"/>
          <w:szCs w:val="19"/>
        </w:rPr>
        <w:t xml:space="preserve">. </w:t>
      </w:r>
      <w:r>
        <w:rPr>
          <w:sz w:val="19"/>
          <w:szCs w:val="19"/>
        </w:rPr>
        <w:t xml:space="preserve">A new useful life or salvage value is a change in </w:t>
      </w:r>
      <w:r>
        <w:rPr>
          <w:b/>
          <w:bCs/>
          <w:color w:val="8186EF"/>
          <w:sz w:val="15"/>
          <w:szCs w:val="15"/>
        </w:rPr>
        <w:t xml:space="preserve"> (21) </w:t>
      </w:r>
      <w:r>
        <w:rPr>
          <w:u w:val="single"/>
          <w:sz w:val="19"/>
          <w:szCs w:val="19"/>
        </w:rPr>
        <w:t xml:space="preserve">            </w:t>
      </w:r>
      <w:r>
        <w:rPr>
          <w:sz w:val="19"/>
          <w:szCs w:val="19"/>
        </w:rPr>
        <w:t xml:space="preserve"> </w:t>
      </w:r>
      <w:r>
        <w:rPr>
          <w:sz w:val="19"/>
          <w:szCs w:val="19"/>
        </w:rPr>
        <w:t xml:space="preserve"> estimate. </w:t>
      </w:r>
      <w:r>
        <w:rPr>
          <w:sz w:val="19"/>
          <w:szCs w:val="19"/>
        </w:rPr>
        <w:t xml:space="preserve">It is applied prospectively: the company does not </w:t>
      </w:r>
      <w:r>
        <w:rPr>
          <w:b/>
          <w:bCs/>
          <w:color w:val="8186EF"/>
          <w:sz w:val="15"/>
          <w:szCs w:val="15"/>
        </w:rPr>
        <w:t xml:space="preserve"> (22) </w:t>
      </w:r>
      <w:r>
        <w:rPr>
          <w:u w:val="single"/>
          <w:sz w:val="19"/>
          <w:szCs w:val="19"/>
        </w:rPr>
        <w:t xml:space="preserve">           </w:t>
      </w:r>
      <w:r>
        <w:rPr>
          <w:sz w:val="19"/>
          <w:szCs w:val="19"/>
        </w:rPr>
        <w:t xml:space="preserve"> </w:t>
      </w:r>
      <w:r>
        <w:rPr>
          <w:sz w:val="19"/>
          <w:szCs w:val="19"/>
        </w:rPr>
        <w:t xml:space="preserve"> prior years. </w:t>
      </w:r>
      <w:r>
        <w:rPr>
          <w:sz w:val="19"/>
          <w:szCs w:val="19"/>
        </w:rPr>
        <w:t xml:space="preserve"/>
      </w:r>
      <w:r>
        <w:rPr>
          <w:b/>
          <w:bCs/>
          <w:color w:val="8186EF"/>
          <w:sz w:val="15"/>
          <w:szCs w:val="15"/>
        </w:rPr>
        <w:t xml:space="preserve"> (23) </w:t>
      </w:r>
      <w:r>
        <w:rPr>
          <w:u w:val="single"/>
          <w:sz w:val="19"/>
          <w:szCs w:val="19"/>
        </w:rPr>
        <w:t xml:space="preserve">           </w:t>
      </w:r>
      <w:r>
        <w:rPr>
          <w:sz w:val="19"/>
          <w:szCs w:val="19"/>
        </w:rPr>
        <w:t xml:space="preserve"> </w:t>
      </w:r>
      <w:r>
        <w:rPr>
          <w:sz w:val="19"/>
          <w:szCs w:val="19"/>
        </w:rPr>
        <w:t xml:space="preserve"> Orontes used straight-line for the bottling line and, after 2 years, </w:t>
      </w:r>
      <w:r>
        <w:rPr>
          <w:b/>
          <w:bCs/>
          <w:color w:val="8186EF"/>
          <w:sz w:val="15"/>
          <w:szCs w:val="15"/>
        </w:rPr>
        <w:t xml:space="preserve"> (24) </w:t>
      </w:r>
      <w:r>
        <w:rPr>
          <w:u w:val="single"/>
          <w:sz w:val="19"/>
          <w:szCs w:val="19"/>
        </w:rPr>
        <w:t xml:space="preserve">           </w:t>
      </w:r>
      <w:r>
        <w:rPr>
          <w:sz w:val="19"/>
          <w:szCs w:val="19"/>
        </w:rPr>
        <w:t xml:space="preserve"> </w:t>
      </w:r>
      <w:r>
        <w:rPr>
          <w:sz w:val="19"/>
          <w:szCs w:val="19"/>
        </w:rPr>
        <w:t xml:space="preserve"> it has 4 more years of life and a salvage value of $90,000. </w:t>
      </w:r>
      <w:r>
        <w:rPr>
          <w:sz w:val="19"/>
          <w:szCs w:val="19"/>
        </w:rPr>
        <w:t xml:space="preserve">The book value then is $780,000, so each remaining </w:t>
      </w:r>
      <w:r>
        <w:rPr>
          <w:b/>
          <w:bCs/>
          <w:color w:val="8186EF"/>
          <w:sz w:val="15"/>
          <w:szCs w:val="15"/>
        </w:rPr>
        <w:t xml:space="preserve"> (25) </w:t>
      </w:r>
      <w:r>
        <w:rPr>
          <w:u w:val="single"/>
          <w:sz w:val="19"/>
          <w:szCs w:val="19"/>
        </w:rPr>
        <w:t xml:space="preserve">           </w:t>
      </w:r>
      <w:r>
        <w:rPr>
          <w:sz w:val="19"/>
          <w:szCs w:val="19"/>
        </w:rPr>
        <w:t xml:space="preserve"> </w:t>
      </w:r>
      <w:r>
        <w:rPr>
          <w:sz w:val="19"/>
          <w:szCs w:val="19"/>
        </w:rPr>
        <w:t xml:space="preserve"> depreciation is ($780,000 − $90,000) ÷ 4 = $172,500. </w:t>
      </w:r>
      <w:r>
        <w:rPr>
          <w:sz w:val="19"/>
          <w:szCs w:val="19"/>
        </w:rPr>
        <w:t xml:space="preserve">A change in depreciation method is also applied prospectively, as a change in estimate effected by a change in </w:t>
      </w:r>
      <w:r>
        <w:rPr>
          <w:b/>
          <w:bCs/>
          <w:color w:val="8186EF"/>
          <w:sz w:val="15"/>
          <w:szCs w:val="15"/>
        </w:rPr>
        <w:t xml:space="preserve"> (26) </w:t>
      </w:r>
      <w:r>
        <w:rPr>
          <w:u w:val="single"/>
          <w:sz w:val="19"/>
          <w:szCs w:val="19"/>
        </w:rPr>
        <w:t xml:space="preserve">           </w:t>
      </w:r>
      <w:r>
        <w:rPr>
          <w:sz w:val="19"/>
          <w:szCs w:val="19"/>
        </w:rPr>
        <w:t xml:space="preserve"> </w:t>
      </w:r>
      <w:r>
        <w:rPr>
          <w:sz w:val="19"/>
          <w:szCs w:val="19"/>
        </w:rPr>
        <w:t xml:space="preserve">, and the new method must be </w:t>
      </w:r>
      <w:r>
        <w:rPr>
          <w:b/>
          <w:bCs/>
          <w:color w:val="8186EF"/>
          <w:sz w:val="15"/>
          <w:szCs w:val="15"/>
        </w:rPr>
        <w:t xml:space="preserve"> (27) </w:t>
      </w:r>
      <w:r>
        <w:rPr>
          <w:u w:val="single"/>
          <w:sz w:val="19"/>
          <w:szCs w:val="19"/>
        </w:rPr>
        <w:t xml:space="preserve">            </w:t>
      </w:r>
      <w:r>
        <w:rPr>
          <w:sz w:val="19"/>
          <w:szCs w:val="19"/>
        </w:rPr>
        <w:t xml:space="preserve"> </w:t>
      </w:r>
      <w:r>
        <w:rPr>
          <w:sz w:val="19"/>
          <w:szCs w:val="19"/>
        </w:rPr>
        <w:t xml:space="preserve">. </w:t>
      </w:r>
      <w:r>
        <w:rPr>
          <w:sz w:val="19"/>
          <w:szCs w:val="19"/>
        </w:rPr>
        <w:t xml:space="preserve">An error, such as </w:t>
      </w:r>
      <w:r>
        <w:rPr>
          <w:b/>
          <w:bCs/>
          <w:color w:val="8186EF"/>
          <w:sz w:val="15"/>
          <w:szCs w:val="15"/>
        </w:rPr>
        <w:t xml:space="preserve"> (28) </w:t>
      </w:r>
      <w:r>
        <w:rPr>
          <w:u w:val="single"/>
          <w:sz w:val="19"/>
          <w:szCs w:val="19"/>
        </w:rPr>
        <w:t xml:space="preserve">           </w:t>
      </w:r>
      <w:r>
        <w:rPr>
          <w:sz w:val="19"/>
          <w:szCs w:val="19"/>
        </w:rPr>
        <w:t xml:space="preserve"> </w:t>
      </w:r>
      <w:r>
        <w:rPr>
          <w:sz w:val="19"/>
          <w:szCs w:val="19"/>
        </w:rPr>
        <w:t xml:space="preserve"> a machine that should have been </w:t>
      </w:r>
      <w:r>
        <w:rPr>
          <w:b/>
          <w:bCs/>
          <w:color w:val="8186EF"/>
          <w:sz w:val="15"/>
          <w:szCs w:val="15"/>
        </w:rPr>
        <w:t xml:space="preserve"> (29) </w:t>
      </w:r>
      <w:r>
        <w:rPr>
          <w:u w:val="single"/>
          <w:sz w:val="19"/>
          <w:szCs w:val="19"/>
        </w:rPr>
        <w:t xml:space="preserve">             </w:t>
      </w:r>
      <w:r>
        <w:rPr>
          <w:sz w:val="19"/>
          <w:szCs w:val="19"/>
        </w:rPr>
        <w:t xml:space="preserve"> </w:t>
      </w:r>
      <w:r>
        <w:rPr>
          <w:sz w:val="19"/>
          <w:szCs w:val="19"/>
        </w:rPr>
        <w:t xml:space="preserve">, is different: it is corrected by restating the prior years. </w:t>
      </w:r>
      <w:r>
        <w:rPr>
          <w:sz w:val="19"/>
          <w:szCs w:val="19"/>
        </w:rPr>
        <w:t xml:space="preserve">Some companies use group or composite depreciation for many similar assets. </w:t>
      </w:r>
      <w:r>
        <w:rPr>
          <w:sz w:val="19"/>
          <w:szCs w:val="19"/>
        </w:rPr>
        <w:t xml:space="preserve">They apply one rate to the whole pool, and when an asset is retired they record no gain or loss.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principle   ·   capitalized   ·   accounting   ·   decides   ·   schedule   ·   restating   ·   year's   ·   Complete   ·   delivery   ·   expensing   ·   restate   ·   preferable   ·   Suppose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Depreciation traps</w:t>
            </w:r>
          </w:p>
        </w:tc>
      </w:tr>
    </w:tbl>
    <w:p/>
    <w:p>
      <w:pPr>
        <w:pageBreakBefore w:val="true"/>
        <w:spacing w:after="0"/>
      </w:pPr>
      <w:r>
        <w:rPr>
          <w:sz w:val="2"/>
        </w:rPr>
        <w:t xml:space="preserve"> </w:t>
      </w:r>
    </w:p>
    <w:p>
      <w:pPr>
        <w:spacing w:before="44" w:after="14"/>
      </w:pPr>
      <w:r>
        <w:rPr>
          <w:b/>
          <w:bCs/>
          <w:color w:val="353A7C"/>
          <w:sz w:val="18"/>
          <w:szCs w:val="18"/>
        </w:rPr>
        <w:t xml:space="preserve">Summary 4</w:t>
      </w:r>
      <w:r>
        <w:rPr>
          <w:color w:val="6B7280"/>
          <w:sz w:val="16"/>
          <w:szCs w:val="16"/>
        </w:rPr>
        <w:t xml:space="preserve">      gaps 30–31</w:t>
      </w:r>
    </w:p>
    <w:p>
      <w:pPr>
        <w:spacing w:before="20" w:after="20" w:line="360" w:lineRule="auto"/>
        <w:ind w:left="200"/>
      </w:pPr>
      <w:r>
        <w:rPr>
          <w:sz w:val="19"/>
          <w:szCs w:val="19"/>
        </w:rPr>
        <w:t xml:space="preserve">Double-declining: apply the rate to book value; never </w:t>
      </w:r>
      <w:r>
        <w:rPr>
          <w:b/>
          <w:bCs/>
          <w:color w:val="8186EF"/>
          <w:sz w:val="15"/>
          <w:szCs w:val="15"/>
        </w:rPr>
        <w:t xml:space="preserve"> (30) </w:t>
      </w:r>
      <w:r>
        <w:rPr>
          <w:u w:val="single"/>
          <w:sz w:val="19"/>
          <w:szCs w:val="19"/>
        </w:rPr>
        <w:t xml:space="preserve">           </w:t>
      </w:r>
      <w:r>
        <w:rPr>
          <w:sz w:val="19"/>
          <w:szCs w:val="19"/>
        </w:rPr>
        <w:t xml:space="preserve"> </w:t>
      </w:r>
      <w:r>
        <w:rPr>
          <w:sz w:val="19"/>
          <w:szCs w:val="19"/>
        </w:rPr>
        <w:t xml:space="preserve"> salvage first, and never go below salvage. </w:t>
      </w:r>
      <w:r>
        <w:rPr>
          <w:sz w:val="19"/>
          <w:szCs w:val="19"/>
        </w:rPr>
        <w:t xml:space="preserve">SYD: use the remaining life at the start of the year, applied to the depreciable base. </w:t>
      </w:r>
      <w:r>
        <w:rPr>
          <w:sz w:val="19"/>
          <w:szCs w:val="19"/>
        </w:rPr>
        <w:t xml:space="preserve">Changes in life, salvage or method: </w:t>
      </w:r>
      <w:r>
        <w:rPr>
          <w:b/>
          <w:bCs/>
          <w:color w:val="8186EF"/>
          <w:sz w:val="15"/>
          <w:szCs w:val="15"/>
        </w:rPr>
        <w:t xml:space="preserve"> (31)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prospective   ·   depreciated   ·   subtract</w:t>
            </w:r>
          </w:p>
        </w:tc>
      </w:tr>
    </w:tbl>
    <w:p/>
    <w:p>
      <w:pPr>
        <w:spacing w:before="44" w:after="10"/>
      </w:pPr>
      <w:r>
        <w:rPr>
          <w:b/>
          <w:bCs/>
          <w:color w:val="353A7C"/>
          <w:sz w:val="18"/>
          <w:szCs w:val="18"/>
        </w:rPr>
        <w:t xml:space="preserve">Depreciation schedules for the Amman bottling line (whole USD)</w:t>
      </w:r>
    </w:p>
    <w:p>
      <w:pPr>
        <w:spacing w:before="0" w:after="12"/>
      </w:pPr>
      <w:r>
        <w:rPr>
          <w:color w:val="6B7280"/>
          <w:sz w:val="15"/>
          <w:szCs w:val="15"/>
        </w:rPr>
        <w:t xml:space="preserve">Name each line from how it moves.</w:t>
      </w:r>
    </w:p>
    <w:p>
      <w:pPr>
        <w:spacing w:after="40" w:before="90"/>
        <w:jc w:val="center"/>
      </w:pPr>
      <w:r>
        <w:drawing>
          <wp:inline distT="0" distB="0" distL="0" distR="0">
            <wp:extent cx="5734050" cy="2648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734050" cy="26482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goodwill   ·   Sum-of-the-years'-digits</w:t>
            </w:r>
          </w:p>
        </w:tc>
      </w:tr>
    </w:tbl>
    <w:p/>
    <w:p>
      <w:pPr>
        <w:pageBreakBefore w:val="true"/>
        <w:spacing w:after="0"/>
      </w:pPr>
      <w:r>
        <w:rPr>
          <w:sz w:val="2"/>
        </w:rPr>
        <w:t xml:space="preserve"> </w:t>
      </w:r>
    </w:p>
    <w:p>
      <w:pPr>
        <w:spacing w:before="44" w:after="10"/>
      </w:pPr>
      <w:r>
        <w:rPr>
          <w:b/>
          <w:bCs/>
          <w:color w:val="353A7C"/>
          <w:sz w:val="18"/>
          <w:szCs w:val="18"/>
        </w:rPr>
        <w:t xml:space="preserve">Double-declining schedule for the Dubai trucks (whole USD): complete the blanks</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310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734050" cy="31084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Year 3   ·   capitalized interest   ·   Year 2</w:t>
            </w:r>
          </w:p>
        </w:tc>
      </w:tr>
    </w:tbl>
    <w:p/>
    <w:p>
      <w:pPr>
        <w:spacing w:before="44" w:after="10"/>
      </w:pPr>
      <w:r>
        <w:rPr>
          <w:b/>
          <w:bCs/>
          <w:color w:val="353A7C"/>
          <w:sz w:val="18"/>
          <w:szCs w:val="18"/>
        </w:rPr>
        <w:t xml:space="preserve">What each framework says</w:t>
      </w:r>
    </w:p>
    <w:p>
      <w:pPr>
        <w:spacing w:before="0" w:after="12"/>
      </w:pPr>
      <w:r>
        <w:rPr>
          <w:color w:val="6B7280"/>
          <w:sz w:val="15"/>
          <w:szCs w:val="15"/>
        </w:rPr>
        <w:t xml:space="preserve">The two columns are not matched row by row.</w:t>
      </w:r>
    </w:p>
    <w:p>
      <w:pPr>
        <w:spacing w:after="40" w:before="90"/>
        <w:jc w:val="center"/>
      </w:pPr>
      <w:r>
        <w:drawing>
          <wp:inline distT="0" distB="0" distL="0" distR="0">
            <wp:extent cx="5734050" cy="207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5734050" cy="20748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require   ·   increases   ·   goodwill   ·   depreciation   ·   revaluation</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326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5734050" cy="32669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depreciable base   ·   revenue expenditure   ·   sum-of-the-years'-digits method   ·   useful life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10"/>
        <w:gridCol w:w="4690"/>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557"/>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43"/>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557"/>
            <w:tcMar>
              <w:top w:type="dxa" w:w="50"/>
              <w:left w:type="dxa" w:w="110"/>
              <w:bottom w:type="dxa" w:w="50"/>
              <w:right w:type="dxa" w:w="110"/>
            </w:tcMar>
          </w:tcPr>
          <w:p>
            <w:pPr>
              <w:spacing w:before="26" w:after="26"/>
            </w:pPr>
            <w:r>
              <w:rPr>
                <w:color w:val="232733"/>
                <w:sz w:val="16"/>
                <w:szCs w:val="16"/>
              </w:rPr>
              <w:t xml:space="preserve">depreciable base</w:t>
            </w:r>
          </w:p>
        </w:tc>
        <w:tc>
          <w:tcPr>
            <w:tcW w:type="pct" w:w="2443"/>
            <w:tcMar>
              <w:top w:type="dxa" w:w="50"/>
              <w:left w:type="dxa" w:w="110"/>
              <w:bottom w:type="dxa" w:w="50"/>
              <w:right w:type="dxa" w:w="110"/>
            </w:tcMar>
          </w:tcPr>
          <w:p>
            <w:pPr>
              <w:spacing w:before="26" w:after="26"/>
            </w:pPr>
            <w:r>
              <w:rPr>
                <w:color w:val="232733"/>
                <w:sz w:val="16"/>
                <w:szCs w:val="16"/>
              </w:rPr>
              <w:t xml:space="preserve">المبلغ القابل للاستهلاك</w:t>
            </w:r>
          </w:p>
        </w:tc>
      </w:tr>
      <w:tr>
        <w:tc>
          <w:tcPr>
            <w:tcW w:type="pct" w:w="2557"/>
            <w:shd w:fill="FBFAF6" w:val="clear"/>
            <w:tcMar>
              <w:top w:type="dxa" w:w="50"/>
              <w:left w:type="dxa" w:w="110"/>
              <w:bottom w:type="dxa" w:w="50"/>
              <w:right w:type="dxa" w:w="110"/>
            </w:tcMar>
          </w:tcPr>
          <w:p>
            <w:pPr>
              <w:spacing w:before="26" w:after="26"/>
            </w:pPr>
            <w:r>
              <w:rPr>
                <w:color w:val="232733"/>
                <w:sz w:val="16"/>
                <w:szCs w:val="16"/>
              </w:rPr>
              <w:t xml:space="preserve">salvage value</w:t>
            </w:r>
          </w:p>
        </w:tc>
        <w:tc>
          <w:tcPr>
            <w:tcW w:type="pct" w:w="2443"/>
            <w:shd w:fill="FBFAF6" w:val="clear"/>
            <w:tcMar>
              <w:top w:type="dxa" w:w="50"/>
              <w:left w:type="dxa" w:w="110"/>
              <w:bottom w:type="dxa" w:w="50"/>
              <w:right w:type="dxa" w:w="110"/>
            </w:tcMar>
          </w:tcPr>
          <w:p>
            <w:pPr>
              <w:spacing w:before="26" w:after="26"/>
            </w:pPr>
            <w:r>
              <w:rPr>
                <w:color w:val="232733"/>
                <w:sz w:val="16"/>
                <w:szCs w:val="16"/>
              </w:rPr>
              <w:t xml:space="preserve">القيمة المتبقية (قيمة الخردة)</w:t>
            </w:r>
          </w:p>
        </w:tc>
      </w:tr>
      <w:tr>
        <w:tc>
          <w:tcPr>
            <w:tcW w:type="pct" w:w="2557"/>
            <w:tcMar>
              <w:top w:type="dxa" w:w="50"/>
              <w:left w:type="dxa" w:w="110"/>
              <w:bottom w:type="dxa" w:w="50"/>
              <w:right w:type="dxa" w:w="110"/>
            </w:tcMar>
          </w:tcPr>
          <w:p>
            <w:pPr>
              <w:spacing w:before="26" w:after="26"/>
            </w:pPr>
            <w:r>
              <w:rPr>
                <w:color w:val="232733"/>
                <w:sz w:val="16"/>
                <w:szCs w:val="16"/>
              </w:rPr>
              <w:t xml:space="preserve">useful life</w:t>
            </w:r>
          </w:p>
        </w:tc>
        <w:tc>
          <w:tcPr>
            <w:tcW w:type="pct" w:w="2443"/>
            <w:tcMar>
              <w:top w:type="dxa" w:w="50"/>
              <w:left w:type="dxa" w:w="110"/>
              <w:bottom w:type="dxa" w:w="50"/>
              <w:right w:type="dxa" w:w="110"/>
            </w:tcMar>
          </w:tcPr>
          <w:p>
            <w:pPr>
              <w:spacing w:before="26" w:after="26"/>
            </w:pPr>
            <w:r>
              <w:rPr>
                <w:color w:val="232733"/>
                <w:sz w:val="16"/>
                <w:szCs w:val="16"/>
              </w:rPr>
              <w:t xml:space="preserve">العمر الإنتاجي</w:t>
            </w:r>
          </w:p>
        </w:tc>
      </w:tr>
      <w:tr>
        <w:tc>
          <w:tcPr>
            <w:tcW w:type="pct" w:w="2557"/>
            <w:shd w:fill="FBFAF6" w:val="clear"/>
            <w:tcMar>
              <w:top w:type="dxa" w:w="50"/>
              <w:left w:type="dxa" w:w="110"/>
              <w:bottom w:type="dxa" w:w="50"/>
              <w:right w:type="dxa" w:w="110"/>
            </w:tcMar>
          </w:tcPr>
          <w:p>
            <w:pPr>
              <w:spacing w:before="26" w:after="26"/>
            </w:pPr>
            <w:r>
              <w:rPr>
                <w:color w:val="232733"/>
                <w:sz w:val="16"/>
                <w:szCs w:val="16"/>
              </w:rPr>
              <w:t xml:space="preserve">straight-line method</w:t>
            </w:r>
          </w:p>
        </w:tc>
        <w:tc>
          <w:tcPr>
            <w:tcW w:type="pct" w:w="2443"/>
            <w:shd w:fill="FBFAF6" w:val="clear"/>
            <w:tcMar>
              <w:top w:type="dxa" w:w="50"/>
              <w:left w:type="dxa" w:w="110"/>
              <w:bottom w:type="dxa" w:w="50"/>
              <w:right w:type="dxa" w:w="110"/>
            </w:tcMar>
          </w:tcPr>
          <w:p>
            <w:pPr>
              <w:spacing w:before="26" w:after="26"/>
            </w:pPr>
            <w:r>
              <w:rPr>
                <w:color w:val="232733"/>
                <w:sz w:val="16"/>
                <w:szCs w:val="16"/>
              </w:rPr>
              <w:t xml:space="preserve">طريقة القسط الثابت</w:t>
            </w:r>
          </w:p>
        </w:tc>
      </w:tr>
      <w:tr>
        <w:tc>
          <w:tcPr>
            <w:tcW w:type="pct" w:w="2557"/>
            <w:tcMar>
              <w:top w:type="dxa" w:w="50"/>
              <w:left w:type="dxa" w:w="110"/>
              <w:bottom w:type="dxa" w:w="50"/>
              <w:right w:type="dxa" w:w="110"/>
            </w:tcMar>
          </w:tcPr>
          <w:p>
            <w:pPr>
              <w:spacing w:before="26" w:after="26"/>
            </w:pPr>
            <w:r>
              <w:rPr>
                <w:color w:val="232733"/>
                <w:sz w:val="16"/>
                <w:szCs w:val="16"/>
              </w:rPr>
              <w:t xml:space="preserve">double-declining-balance method</w:t>
            </w:r>
          </w:p>
        </w:tc>
        <w:tc>
          <w:tcPr>
            <w:tcW w:type="pct" w:w="2443"/>
            <w:tcMar>
              <w:top w:type="dxa" w:w="50"/>
              <w:left w:type="dxa" w:w="110"/>
              <w:bottom w:type="dxa" w:w="50"/>
              <w:right w:type="dxa" w:w="110"/>
            </w:tcMar>
          </w:tcPr>
          <w:p>
            <w:pPr>
              <w:spacing w:before="26" w:after="26"/>
            </w:pPr>
            <w:r>
              <w:rPr>
                <w:color w:val="232733"/>
                <w:sz w:val="16"/>
                <w:szCs w:val="16"/>
              </w:rPr>
              <w:t xml:space="preserve">طريقة القسط المتناقص المضاعف</w:t>
            </w:r>
          </w:p>
        </w:tc>
      </w:tr>
      <w:tr>
        <w:tc>
          <w:tcPr>
            <w:tcW w:type="pct" w:w="2557"/>
            <w:shd w:fill="FBFAF6" w:val="clear"/>
            <w:tcMar>
              <w:top w:type="dxa" w:w="50"/>
              <w:left w:type="dxa" w:w="110"/>
              <w:bottom w:type="dxa" w:w="50"/>
              <w:right w:type="dxa" w:w="110"/>
            </w:tcMar>
          </w:tcPr>
          <w:p>
            <w:pPr>
              <w:spacing w:before="26" w:after="26"/>
            </w:pPr>
            <w:r>
              <w:rPr>
                <w:color w:val="232733"/>
                <w:sz w:val="16"/>
                <w:szCs w:val="16"/>
              </w:rPr>
              <w:t xml:space="preserve">sum-of-the-years'-digits method</w:t>
            </w:r>
          </w:p>
        </w:tc>
        <w:tc>
          <w:tcPr>
            <w:tcW w:type="pct" w:w="2443"/>
            <w:shd w:fill="FBFAF6" w:val="clear"/>
            <w:tcMar>
              <w:top w:type="dxa" w:w="50"/>
              <w:left w:type="dxa" w:w="110"/>
              <w:bottom w:type="dxa" w:w="50"/>
              <w:right w:type="dxa" w:w="110"/>
            </w:tcMar>
          </w:tcPr>
          <w:p>
            <w:pPr>
              <w:spacing w:before="26" w:after="26"/>
            </w:pPr>
            <w:r>
              <w:rPr>
                <w:color w:val="232733"/>
                <w:sz w:val="16"/>
                <w:szCs w:val="16"/>
              </w:rPr>
              <w:t xml:space="preserve">طريقة مجموع أرقام السنوات</w:t>
            </w:r>
          </w:p>
        </w:tc>
      </w:tr>
      <w:tr>
        <w:tc>
          <w:tcPr>
            <w:tcW w:type="pct" w:w="2557"/>
            <w:tcMar>
              <w:top w:type="dxa" w:w="50"/>
              <w:left w:type="dxa" w:w="110"/>
              <w:bottom w:type="dxa" w:w="50"/>
              <w:right w:type="dxa" w:w="110"/>
            </w:tcMar>
          </w:tcPr>
          <w:p>
            <w:pPr>
              <w:spacing w:before="26" w:after="26"/>
            </w:pPr>
            <w:r>
              <w:rPr>
                <w:color w:val="232733"/>
                <w:sz w:val="16"/>
                <w:szCs w:val="16"/>
              </w:rPr>
              <w:t xml:space="preserve">units-of-production method</w:t>
            </w:r>
          </w:p>
        </w:tc>
        <w:tc>
          <w:tcPr>
            <w:tcW w:type="pct" w:w="2443"/>
            <w:tcMar>
              <w:top w:type="dxa" w:w="50"/>
              <w:left w:type="dxa" w:w="110"/>
              <w:bottom w:type="dxa" w:w="50"/>
              <w:right w:type="dxa" w:w="110"/>
            </w:tcMar>
          </w:tcPr>
          <w:p>
            <w:pPr>
              <w:spacing w:before="26" w:after="26"/>
            </w:pPr>
            <w:r>
              <w:rPr>
                <w:color w:val="232733"/>
                <w:sz w:val="16"/>
                <w:szCs w:val="16"/>
              </w:rPr>
              <w:t xml:space="preserve">طريقة وحدات الإنتاج</w:t>
            </w:r>
          </w:p>
        </w:tc>
      </w:tr>
      <w:tr>
        <w:tc>
          <w:tcPr>
            <w:tcW w:type="pct" w:w="2557"/>
            <w:shd w:fill="FBFAF6" w:val="clear"/>
            <w:tcMar>
              <w:top w:type="dxa" w:w="50"/>
              <w:left w:type="dxa" w:w="110"/>
              <w:bottom w:type="dxa" w:w="50"/>
              <w:right w:type="dxa" w:w="110"/>
            </w:tcMar>
          </w:tcPr>
          <w:p>
            <w:pPr>
              <w:spacing w:before="26" w:after="26"/>
            </w:pPr>
            <w:r>
              <w:rPr>
                <w:color w:val="232733"/>
                <w:sz w:val="16"/>
                <w:szCs w:val="16"/>
              </w:rPr>
              <w:t xml:space="preserve">carrying amount</w:t>
            </w:r>
          </w:p>
        </w:tc>
        <w:tc>
          <w:tcPr>
            <w:tcW w:type="pct" w:w="2443"/>
            <w:shd w:fill="FBFAF6" w:val="clear"/>
            <w:tcMar>
              <w:top w:type="dxa" w:w="50"/>
              <w:left w:type="dxa" w:w="110"/>
              <w:bottom w:type="dxa" w:w="50"/>
              <w:right w:type="dxa" w:w="110"/>
            </w:tcMar>
          </w:tcPr>
          <w:p>
            <w:pPr>
              <w:spacing w:before="26" w:after="26"/>
            </w:pPr>
            <w:r>
              <w:rPr>
                <w:color w:val="232733"/>
                <w:sz w:val="16"/>
                <w:szCs w:val="16"/>
              </w:rPr>
              <w:t xml:space="preserve">القيمة الدفترية</w:t>
            </w:r>
          </w:p>
        </w:tc>
      </w:tr>
      <w:tr>
        <w:tc>
          <w:tcPr>
            <w:tcW w:type="pct" w:w="2557"/>
            <w:tcMar>
              <w:top w:type="dxa" w:w="50"/>
              <w:left w:type="dxa" w:w="110"/>
              <w:bottom w:type="dxa" w:w="50"/>
              <w:right w:type="dxa" w:w="110"/>
            </w:tcMar>
          </w:tcPr>
          <w:p>
            <w:pPr>
              <w:spacing w:before="26" w:after="26"/>
            </w:pPr>
            <w:r>
              <w:rPr>
                <w:color w:val="232733"/>
                <w:sz w:val="16"/>
                <w:szCs w:val="16"/>
              </w:rPr>
              <w:t xml:space="preserve">change in accounting estimate</w:t>
            </w:r>
          </w:p>
        </w:tc>
        <w:tc>
          <w:tcPr>
            <w:tcW w:type="pct" w:w="2443"/>
            <w:tcMar>
              <w:top w:type="dxa" w:w="50"/>
              <w:left w:type="dxa" w:w="110"/>
              <w:bottom w:type="dxa" w:w="50"/>
              <w:right w:type="dxa" w:w="110"/>
            </w:tcMar>
          </w:tcPr>
          <w:p>
            <w:pPr>
              <w:spacing w:before="26" w:after="26"/>
            </w:pPr>
            <w:r>
              <w:rPr>
                <w:color w:val="232733"/>
                <w:sz w:val="16"/>
                <w:szCs w:val="16"/>
              </w:rPr>
              <w:t xml:space="preserve">التغير في التقدير المحاسبي</w:t>
            </w:r>
          </w:p>
        </w:tc>
      </w:tr>
    </w:tbl>
    <w:p/>
    <w:p>
      <w:pPr>
        <w:sectPr>
          <w:headerReference w:type="default" r:id="rIdHdr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10.2  Depreciation methods and their effects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spreads</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restate</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systematic</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Suppose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appear</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decides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amount</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year's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Double-declining-balance</w:t>
            </w:r>
          </w:p>
        </w:tc>
        <w:tc>
          <w:tcPr>
            <w:tcW w:type="pct" w:w="2500"/>
            <w:tcMar>
              <w:top w:type="dxa" w:w="20"/>
              <w:left w:type="dxa" w:w="80"/>
              <w:bottom w:type="dxa" w:w="20"/>
              <w:right w:type="dxa" w:w="80"/>
            </w:tcMar>
          </w:tcPr>
          <w:p>
            <w:pPr>
              <w:spacing w:before="12" w:after="12"/>
            </w:pPr>
            <w:r>
              <w:rPr>
                <w:b/>
                <w:bCs/>
                <w:color w:val="8186EF"/>
                <w:sz w:val="16"/>
                <w:szCs w:val="16"/>
              </w:rPr>
              <w:t xml:space="preserve">26  </w:t>
            </w:r>
            <w:r>
              <w:rPr>
                <w:sz w:val="16"/>
                <w:szCs w:val="16"/>
              </w:rPr>
              <w:t xml:space="preserve">principle</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beginning</w:t>
            </w:r>
          </w:p>
        </w:tc>
        <w:tc>
          <w:tcPr>
            <w:tcW w:type="pct" w:w="2500"/>
            <w:tcMar>
              <w:top w:type="dxa" w:w="20"/>
              <w:left w:type="dxa" w:w="80"/>
              <w:bottom w:type="dxa" w:w="20"/>
              <w:right w:type="dxa" w:w="80"/>
            </w:tcMar>
          </w:tcPr>
          <w:p>
            <w:pPr>
              <w:spacing w:before="12" w:after="12"/>
            </w:pPr>
            <w:r>
              <w:rPr>
                <w:b/>
                <w:bCs/>
                <w:color w:val="8186EF"/>
                <w:sz w:val="16"/>
                <w:szCs w:val="16"/>
              </w:rPr>
              <w:t xml:space="preserve">27  </w:t>
            </w:r>
            <w:r>
              <w:rPr>
                <w:sz w:val="16"/>
                <w:szCs w:val="16"/>
              </w:rPr>
              <w:t xml:space="preserve">preferable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calculation</w:t>
            </w:r>
          </w:p>
        </w:tc>
        <w:tc>
          <w:tcPr>
            <w:tcW w:type="pct" w:w="2500"/>
            <w:tcMar>
              <w:top w:type="dxa" w:w="20"/>
              <w:left w:type="dxa" w:w="80"/>
              <w:bottom w:type="dxa" w:w="20"/>
              <w:right w:type="dxa" w:w="80"/>
            </w:tcMar>
          </w:tcPr>
          <w:p>
            <w:pPr>
              <w:spacing w:before="12" w:after="12"/>
            </w:pPr>
            <w:r>
              <w:rPr>
                <w:b/>
                <w:bCs/>
                <w:color w:val="8186EF"/>
                <w:sz w:val="16"/>
                <w:szCs w:val="16"/>
              </w:rPr>
              <w:t xml:space="preserve">28  </w:t>
            </w:r>
            <w:r>
              <w:rPr>
                <w:sz w:val="16"/>
                <w:szCs w:val="16"/>
              </w:rPr>
              <w:t xml:space="preserve">expensing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Units-of-production</w:t>
            </w:r>
          </w:p>
        </w:tc>
        <w:tc>
          <w:tcPr>
            <w:tcW w:type="pct" w:w="2500"/>
            <w:tcMar>
              <w:top w:type="dxa" w:w="20"/>
              <w:left w:type="dxa" w:w="80"/>
              <w:bottom w:type="dxa" w:w="20"/>
              <w:right w:type="dxa" w:w="80"/>
            </w:tcMar>
          </w:tcPr>
          <w:p>
            <w:pPr>
              <w:spacing w:before="12" w:after="12"/>
            </w:pPr>
            <w:r>
              <w:rPr>
                <w:b/>
                <w:bCs/>
                <w:color w:val="8186EF"/>
                <w:sz w:val="16"/>
                <w:szCs w:val="16"/>
              </w:rPr>
              <w:t xml:space="preserve">29  </w:t>
            </w:r>
            <w:r>
              <w:rPr>
                <w:sz w:val="16"/>
                <w:szCs w:val="16"/>
              </w:rPr>
              <w:t xml:space="preserve">capitalized</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bought</w:t>
            </w:r>
          </w:p>
        </w:tc>
        <w:tc>
          <w:tcPr>
            <w:tcW w:type="pct" w:w="2500"/>
            <w:tcMar>
              <w:top w:type="dxa" w:w="20"/>
              <w:left w:type="dxa" w:w="80"/>
              <w:bottom w:type="dxa" w:w="20"/>
              <w:right w:type="dxa" w:w="80"/>
            </w:tcMar>
          </w:tcPr>
          <w:p>
            <w:pPr>
              <w:spacing w:before="12" w:after="12"/>
            </w:pPr>
            <w:r>
              <w:rPr>
                <w:b/>
                <w:bCs/>
                <w:color w:val="8186EF"/>
                <w:sz w:val="16"/>
                <w:szCs w:val="16"/>
              </w:rPr>
              <w:t xml:space="preserve">30  </w:t>
            </w:r>
            <w:r>
              <w:rPr>
                <w:sz w:val="16"/>
                <w:szCs w:val="16"/>
              </w:rPr>
              <w:t xml:space="preserve">subtract</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expects</w:t>
            </w:r>
          </w:p>
        </w:tc>
        <w:tc>
          <w:tcPr>
            <w:tcW w:type="pct" w:w="2500"/>
            <w:tcMar>
              <w:top w:type="dxa" w:w="20"/>
              <w:left w:type="dxa" w:w="80"/>
              <w:bottom w:type="dxa" w:w="20"/>
              <w:right w:type="dxa" w:w="80"/>
            </w:tcMar>
          </w:tcPr>
          <w:p>
            <w:pPr>
              <w:spacing w:before="12" w:after="12"/>
            </w:pPr>
            <w:r>
              <w:rPr>
                <w:b/>
                <w:bCs/>
                <w:color w:val="8186EF"/>
                <w:sz w:val="16"/>
                <w:szCs w:val="16"/>
              </w:rPr>
              <w:t xml:space="preserve">31  </w:t>
            </w:r>
            <w:r>
              <w:rPr>
                <w:sz w:val="16"/>
                <w:szCs w:val="16"/>
              </w:rPr>
              <w:t xml:space="preserve">prospective</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production</w:t>
            </w:r>
          </w:p>
        </w:tc>
        <w:tc>
          <w:tcPr>
            <w:tcW w:type="pct" w:w="2500"/>
            <w:tcMar>
              <w:top w:type="dxa" w:w="20"/>
              <w:left w:type="dxa" w:w="80"/>
              <w:bottom w:type="dxa" w:w="20"/>
              <w:right w:type="dxa" w:w="80"/>
            </w:tcMar>
          </w:tcPr>
          <w:p>
            <w:pPr>
              <w:spacing w:before="12" w:after="12"/>
            </w:pPr>
            <w:r>
              <w:rPr>
                <w:b/>
                <w:bCs/>
                <w:color w:val="8186EF"/>
                <w:sz w:val="16"/>
                <w:szCs w:val="16"/>
              </w:rPr>
              <w:t xml:space="preserve">32  </w:t>
            </w:r>
            <w:r>
              <w:rPr>
                <w:sz w:val="16"/>
                <w:szCs w:val="16"/>
              </w:rPr>
              <w:t xml:space="preserve">Sum-of-the-years'-digits</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charge</w:t>
            </w:r>
          </w:p>
        </w:tc>
        <w:tc>
          <w:tcPr>
            <w:tcW w:type="pct" w:w="2500"/>
            <w:tcMar>
              <w:top w:type="dxa" w:w="20"/>
              <w:left w:type="dxa" w:w="80"/>
              <w:bottom w:type="dxa" w:w="20"/>
              <w:right w:type="dxa" w:w="80"/>
            </w:tcMar>
          </w:tcPr>
          <w:p>
            <w:pPr>
              <w:spacing w:before="12" w:after="12"/>
            </w:pPr>
            <w:r>
              <w:rPr>
                <w:b/>
                <w:bCs/>
                <w:color w:val="8186EF"/>
                <w:sz w:val="16"/>
                <w:szCs w:val="16"/>
              </w:rPr>
              <w:t xml:space="preserve">33  </w:t>
            </w:r>
            <w:r>
              <w:rPr>
                <w:sz w:val="16"/>
                <w:szCs w:val="16"/>
              </w:rPr>
              <w:t xml:space="preserve">Year 2</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timing</w:t>
            </w:r>
          </w:p>
        </w:tc>
        <w:tc>
          <w:tcPr>
            <w:tcW w:type="pct" w:w="2500"/>
            <w:tcMar>
              <w:top w:type="dxa" w:w="20"/>
              <w:left w:type="dxa" w:w="80"/>
              <w:bottom w:type="dxa" w:w="20"/>
              <w:right w:type="dxa" w:w="80"/>
            </w:tcMar>
          </w:tcPr>
          <w:p>
            <w:pPr>
              <w:spacing w:before="12" w:after="12"/>
            </w:pPr>
            <w:r>
              <w:rPr>
                <w:b/>
                <w:bCs/>
                <w:color w:val="8186EF"/>
                <w:sz w:val="16"/>
                <w:szCs w:val="16"/>
              </w:rPr>
              <w:t xml:space="preserve">34  </w:t>
            </w:r>
            <w:r>
              <w:rPr>
                <w:sz w:val="16"/>
                <w:szCs w:val="16"/>
              </w:rPr>
              <w:t xml:space="preserve">Year 3</w:t>
            </w:r>
          </w:p>
        </w:tc>
      </w:tr>
      <w:tr>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through</w:t>
            </w:r>
          </w:p>
        </w:tc>
        <w:tc>
          <w:tcPr>
            <w:tcW w:type="pct" w:w="2500"/>
            <w:tcMar>
              <w:top w:type="dxa" w:w="20"/>
              <w:left w:type="dxa" w:w="80"/>
              <w:bottom w:type="dxa" w:w="20"/>
              <w:right w:type="dxa" w:w="80"/>
            </w:tcMar>
          </w:tcPr>
          <w:p>
            <w:pPr>
              <w:spacing w:before="12" w:after="12"/>
            </w:pPr>
            <w:r>
              <w:rPr>
                <w:b/>
                <w:bCs/>
                <w:color w:val="8186EF"/>
                <w:sz w:val="16"/>
                <w:szCs w:val="16"/>
              </w:rPr>
              <w:t xml:space="preserve">35  </w:t>
            </w:r>
            <w:r>
              <w:rPr>
                <w:sz w:val="16"/>
                <w:szCs w:val="16"/>
              </w:rPr>
              <w:t xml:space="preserve">require</w:t>
            </w:r>
          </w:p>
        </w:tc>
      </w:tr>
      <w:tr>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chosen</w:t>
            </w:r>
          </w:p>
        </w:tc>
        <w:tc>
          <w:tcPr>
            <w:tcW w:type="pct" w:w="2500"/>
            <w:tcMar>
              <w:top w:type="dxa" w:w="20"/>
              <w:left w:type="dxa" w:w="80"/>
              <w:bottom w:type="dxa" w:w="20"/>
              <w:right w:type="dxa" w:w="80"/>
            </w:tcMar>
          </w:tcPr>
          <w:p>
            <w:pPr>
              <w:spacing w:before="12" w:after="12"/>
            </w:pPr>
            <w:r>
              <w:rPr>
                <w:b/>
                <w:bCs/>
                <w:color w:val="8186EF"/>
                <w:sz w:val="16"/>
                <w:szCs w:val="16"/>
              </w:rPr>
              <w:t xml:space="preserve">36  </w:t>
            </w:r>
            <w:r>
              <w:rPr>
                <w:sz w:val="16"/>
                <w:szCs w:val="16"/>
              </w:rPr>
              <w:t xml:space="preserve">revaluation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Expense in early years</w:t>
            </w:r>
          </w:p>
        </w:tc>
        <w:tc>
          <w:tcPr>
            <w:tcW w:type="pct" w:w="2500"/>
            <w:tcMar>
              <w:top w:type="dxa" w:w="20"/>
              <w:left w:type="dxa" w:w="80"/>
              <w:bottom w:type="dxa" w:w="20"/>
              <w:right w:type="dxa" w:w="80"/>
            </w:tcMar>
          </w:tcPr>
          <w:p>
            <w:pPr>
              <w:spacing w:before="12" w:after="12"/>
            </w:pPr>
            <w:r>
              <w:rPr>
                <w:b/>
                <w:bCs/>
                <w:color w:val="8186EF"/>
                <w:sz w:val="16"/>
                <w:szCs w:val="16"/>
              </w:rPr>
              <w:t xml:space="preserve">37  </w:t>
            </w:r>
            <w:r>
              <w:rPr>
                <w:sz w:val="16"/>
                <w:szCs w:val="16"/>
              </w:rPr>
              <w:t xml:space="preserve">depreciation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Carrying amount in early years</w:t>
            </w:r>
          </w:p>
        </w:tc>
        <w:tc>
          <w:tcPr>
            <w:tcW w:type="pct" w:w="2500"/>
            <w:tcMar>
              <w:top w:type="dxa" w:w="20"/>
              <w:left w:type="dxa" w:w="80"/>
              <w:bottom w:type="dxa" w:w="20"/>
              <w:right w:type="dxa" w:w="80"/>
            </w:tcMar>
          </w:tcPr>
          <w:p>
            <w:pPr>
              <w:spacing w:before="12" w:after="12"/>
            </w:pPr>
            <w:r>
              <w:rPr>
                <w:b/>
                <w:bCs/>
                <w:color w:val="8186EF"/>
                <w:sz w:val="16"/>
                <w:szCs w:val="16"/>
              </w:rPr>
              <w:t xml:space="preserve">38  </w:t>
            </w:r>
            <w:r>
              <w:rPr>
                <w:sz w:val="16"/>
                <w:szCs w:val="16"/>
              </w:rPr>
              <w:t xml:space="preserve">increases</w:t>
            </w:r>
          </w:p>
        </w:tc>
      </w:tr>
      <w:tr>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delivery</w:t>
            </w:r>
          </w:p>
        </w:tc>
        <w:tc>
          <w:tcPr>
            <w:tcW w:type="pct" w:w="2500"/>
            <w:tcMar>
              <w:top w:type="dxa" w:w="20"/>
              <w:left w:type="dxa" w:w="80"/>
              <w:bottom w:type="dxa" w:w="20"/>
              <w:right w:type="dxa" w:w="80"/>
            </w:tcMar>
          </w:tcPr>
          <w:p>
            <w:pPr>
              <w:spacing w:before="12" w:after="12"/>
            </w:pPr>
            <w:r>
              <w:rPr>
                <w:b/>
                <w:bCs/>
                <w:color w:val="8186EF"/>
                <w:sz w:val="16"/>
                <w:szCs w:val="16"/>
              </w:rPr>
              <w:t xml:space="preserve">39  </w:t>
            </w:r>
            <w:r>
              <w:rPr>
                <w:sz w:val="16"/>
                <w:szCs w:val="16"/>
              </w:rPr>
              <w:t xml:space="preserve">depreciable base</w:t>
            </w:r>
          </w:p>
        </w:tc>
      </w:tr>
      <w:tr>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Complete</w:t>
            </w:r>
          </w:p>
        </w:tc>
        <w:tc>
          <w:tcPr>
            <w:tcW w:type="pct" w:w="2500"/>
            <w:tcMar>
              <w:top w:type="dxa" w:w="20"/>
              <w:left w:type="dxa" w:w="80"/>
              <w:bottom w:type="dxa" w:w="20"/>
              <w:right w:type="dxa" w:w="80"/>
            </w:tcMar>
          </w:tcPr>
          <w:p>
            <w:pPr>
              <w:spacing w:before="12" w:after="12"/>
            </w:pPr>
            <w:r>
              <w:rPr>
                <w:b/>
                <w:bCs/>
                <w:color w:val="8186EF"/>
                <w:sz w:val="16"/>
                <w:szCs w:val="16"/>
              </w:rPr>
              <w:t xml:space="preserve">40  </w:t>
            </w:r>
            <w:r>
              <w:rPr>
                <w:sz w:val="16"/>
                <w:szCs w:val="16"/>
              </w:rPr>
              <w:t xml:space="preserve">useful life</w:t>
            </w:r>
          </w:p>
        </w:tc>
      </w:tr>
      <w:tr>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schedule</w:t>
            </w:r>
          </w:p>
        </w:tc>
        <w:tc>
          <w:tcPr>
            <w:tcW w:type="pct" w:w="2500"/>
            <w:tcMar>
              <w:top w:type="dxa" w:w="20"/>
              <w:left w:type="dxa" w:w="80"/>
              <w:bottom w:type="dxa" w:w="20"/>
              <w:right w:type="dxa" w:w="80"/>
            </w:tcMar>
          </w:tcPr>
          <w:p>
            <w:pPr>
              <w:spacing w:before="12" w:after="12"/>
            </w:pPr>
            <w:r>
              <w:rPr>
                <w:b/>
                <w:bCs/>
                <w:color w:val="8186EF"/>
                <w:sz w:val="16"/>
                <w:szCs w:val="16"/>
              </w:rPr>
              <w:t xml:space="preserve">41  </w:t>
            </w:r>
            <w:r>
              <w:rPr>
                <w:sz w:val="16"/>
                <w:szCs w:val="16"/>
              </w:rPr>
              <w:t xml:space="preserve">sum-of-the-years'-digits method</w:t>
            </w:r>
          </w:p>
        </w:tc>
      </w:tr>
      <w:tr>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accounting</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Depreciation spreads the depreciable base, cost minus salvage value, over the useful life in a systematic and rational way. Four methods appear on the exam. Straight-line method: the same amount each year, depreciable base ÷ useful life. Double-declining-balance method: twice the straight-line rate, applied to the beginning book value. Salvage is ignored in the calculation, but the book value may not fall below salvage. Sum-of-the-years'-digits method: depreciable base × remaining life at the start of the year ÷ the sum of the years' digits. Units-of-production method: a rate per unit or hour of use, times actual use.</w:t>
      </w:r>
    </w:p>
    <w:p>
      <w:pPr>
        <w:spacing w:before="20" w:after="20"/>
        <w:ind w:left="240" w:hanging="240"/>
      </w:pPr>
      <w:r>
        <w:rPr>
          <w:b/>
          <w:bCs/>
          <w:color w:val="353A7C"/>
          <w:sz w:val="15"/>
          <w:szCs w:val="15"/>
        </w:rPr>
        <w:t xml:space="preserve">Summary 2   </w:t>
      </w:r>
      <w:r>
        <w:rPr>
          <w:color w:val="6B7280"/>
          <w:sz w:val="15"/>
          <w:szCs w:val="15"/>
        </w:rPr>
        <w:t xml:space="preserve">In, Orontes bought a new bottling line for its Amman plant. Orontes expects a salvage value of $150,000 after 5 years, or after 21,000 machine hours. The depreciable base is $1,050,000. Straight-line: $1,050,000 ÷ 5 = $210,000 a year. Double-declining: rate 40%; year 1 = 40% × $1,200,000 = $480,000. In year 5 only $5,520 is left, so the book value ends at salvage. Sum-of-the-years'-digits: the digits add up to 15; year 1 = $1,050,000 × 5/15 = $350,000. Units of production: $1,050,000 ÷ 21,000 hours = $50 an hour; year 1 = 5,000 hours × $50 = $250,000. All four methods charge the same total, $1,050,000. They only change the timing. Depreciation is not a cash flow, so the method changes cash only through income taxes, and U.S. tax depreciation (MACRS) is chosen separately from the book method.</w:t>
      </w:r>
    </w:p>
    <w:p>
      <w:pPr>
        <w:spacing w:before="20" w:after="20"/>
        <w:ind w:left="240" w:hanging="240"/>
      </w:pPr>
      <w:r>
        <w:rPr>
          <w:b/>
          <w:bCs/>
          <w:color w:val="353A7C"/>
          <w:sz w:val="15"/>
          <w:szCs w:val="15"/>
        </w:rPr>
        <w:t xml:space="preserve">Summary 3   </w:t>
      </w:r>
      <w:r>
        <w:rPr>
          <w:color w:val="6B7280"/>
          <w:sz w:val="15"/>
          <w:szCs w:val="15"/>
        </w:rPr>
        <w:t xml:space="preserve">Orontes buys delivery trucks for its Dubai plant for $90,000, with a salvage value of $10,000 after 4 years. Complete the double-declining schedule. A new useful life or salvage value is a change in accounting estimate. It is applied prospectively: the company does not restate prior years. Suppose Orontes used straight-line for the bottling line and, after 2 years, decides it has 4 more years of life and a salvage value of $90,000. The book value then is $780,000, so each remaining year's depreciation is ($780,000 − $90,000) ÷ 4 = $172,500. A change in depreciation method is also applied prospectively, as a change in estimate effected by a change in principle, and the new method must be preferable. An error, such as expensing a machine that should have been capitalized, is different: it is corrected by restating the prior years. Some companies use group or composite depreciation for many similar assets. They apply one rate to the whole pool, and when an asset is retired they record no gain or loss.</w:t>
      </w:r>
    </w:p>
    <w:p>
      <w:pPr>
        <w:spacing w:before="20" w:after="20"/>
        <w:ind w:left="240" w:hanging="240"/>
      </w:pPr>
      <w:r>
        <w:rPr>
          <w:b/>
          <w:bCs/>
          <w:color w:val="353A7C"/>
          <w:sz w:val="15"/>
          <w:szCs w:val="15"/>
        </w:rPr>
        <w:t xml:space="preserve">Summary 4   </w:t>
      </w:r>
      <w:r>
        <w:rPr>
          <w:color w:val="6B7280"/>
          <w:sz w:val="15"/>
          <w:szCs w:val="15"/>
        </w:rPr>
        <w:t xml:space="preserve">Double-declining: apply the rate to book value; never subtract salvage first, and never go below salvage. SYD: use the remaining life at the start of the year, applied to the depreciable base. Changes in life, salvage or method: prospective.</w:t>
      </w:r>
    </w:p>
    <w:p>
      <w:pPr>
        <w:sectPr>
          <w:headerReference w:type="default" r:id="rIdHdr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10.3  Recommending a depreciation method</w:t>
            </w:r>
          </w:p>
          <w:p>
            <w:pPr>
              <w:spacing w:before="0" w:after="46"/>
            </w:pPr>
            <w:r>
              <w:rPr>
                <w:color w:val="E8EAF6"/>
                <w:sz w:val="16"/>
                <w:szCs w:val="16"/>
              </w:rPr>
              <w:t xml:space="preserve">Chapter 10 · section 10.3</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1–8</w:t>
      </w:r>
    </w:p>
    <w:p>
      <w:pPr>
        <w:spacing w:before="20" w:after="20" w:line="360" w:lineRule="auto"/>
        <w:ind w:left="200"/>
      </w:pPr>
      <w:r>
        <w:rPr>
          <w:sz w:val="19"/>
          <w:szCs w:val="19"/>
        </w:rPr>
        <w:t xml:space="preserve">The best method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the pattern in which the company uses up the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benefits. </w:t>
      </w:r>
      <w:r>
        <w:rPr>
          <w:sz w:val="19"/>
          <w:szCs w:val="19"/>
        </w:rPr>
        <w:t xml:space="preserve">For the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line, machine hours drive the wear, so units of production gives the best matching; straight-line is simpler and is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if use is fairly even. </w:t>
      </w:r>
      <w:r>
        <w:rPr>
          <w:sz w:val="19"/>
          <w:szCs w:val="19"/>
        </w:rPr>
        <w:t xml:space="preserve">Other factors can support the choice: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with other companies in the industry, the cost of tracking usage, and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view of income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w:t>
      </w:r>
      <w:r>
        <w:rPr>
          <w:sz w:val="19"/>
          <w:szCs w:val="19"/>
        </w:rPr>
        <w:t xml:space="preserve">The tax method is a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decision, so a company does not need to use the same method for its books.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machine   ·   bottling   ·   matches   ·   smoothing   ·   asset's   ·   separate   ·   acceptable   ·   management's   ·   comparability</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Give the reason</w:t>
            </w:r>
          </w:p>
        </w:tc>
      </w:tr>
    </w:tbl>
    <w:p/>
    <w:p>
      <w:pPr>
        <w:spacing w:before="44" w:after="10"/>
      </w:pPr>
      <w:r>
        <w:rPr>
          <w:b/>
          <w:bCs/>
          <w:color w:val="353A7C"/>
          <w:sz w:val="18"/>
          <w:szCs w:val="18"/>
        </w:rPr>
        <w:t xml:space="preserve">What fits each one</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942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5734050" cy="29424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 computer server loses value quickly as technology changes   ·   An office building gives similar service each year   ·   A delivery truck wears out with kilometres driven</w:t>
            </w:r>
          </w:p>
        </w:tc>
      </w:tr>
    </w:tbl>
    <w:p/>
    <w:p>
      <w:pPr>
        <w:spacing w:before="44" w:after="14"/>
      </w:pPr>
      <w:r>
        <w:rPr>
          <w:b/>
          <w:bCs/>
          <w:color w:val="353A7C"/>
          <w:sz w:val="18"/>
          <w:szCs w:val="18"/>
        </w:rPr>
        <w:t xml:space="preserve">Summary 2</w:t>
      </w:r>
      <w:r>
        <w:rPr>
          <w:color w:val="6B7280"/>
          <w:sz w:val="16"/>
          <w:szCs w:val="16"/>
        </w:rPr>
        <w:t xml:space="preserve">      gaps 11–12</w:t>
      </w:r>
    </w:p>
    <w:p>
      <w:pPr>
        <w:spacing w:before="20" w:after="20" w:line="360" w:lineRule="auto"/>
        <w:ind w:left="200"/>
      </w:pPr>
      <w:r>
        <w:rPr>
          <w:sz w:val="19"/>
          <w:szCs w:val="19"/>
        </w:rPr>
        <w:t xml:space="preserve">In a Level C question, a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earns credit only with a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from the facts: how the asset is used and when its benefits arrive.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reason   ·   recommendation   ·   straight-line</w:t>
            </w:r>
          </w:p>
        </w:tc>
      </w:tr>
    </w:tbl>
    <w:p/>
    <w:p>
      <w:pPr>
        <w:sectPr>
          <w:headerReference w:type="default" r:id="rIdHdr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10.3  Recommending a depreciation method</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matches</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smoothing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asset's</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separate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bottling</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A delivery truck wears out with kilometres driven</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acceptable</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An office building gives similar service each year</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comparability</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recommendation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management's</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reason</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best method matches the pattern in which the company uses up the asset's benefits. For the bottling line, machine hours drive the wear, so units of production gives the best matching; straight-line is simpler and is acceptable if use is fairly even. Other factors can support the choice: comparability with other companies in the industry, the cost of tracking usage, and management's view of income smoothing. The tax method is a separate decision, so a company does not need to use the same method for its books.</w:t>
      </w:r>
    </w:p>
    <w:p>
      <w:pPr>
        <w:spacing w:before="20" w:after="20"/>
        <w:ind w:left="240" w:hanging="240"/>
      </w:pPr>
      <w:r>
        <w:rPr>
          <w:b/>
          <w:bCs/>
          <w:color w:val="353A7C"/>
          <w:sz w:val="15"/>
          <w:szCs w:val="15"/>
        </w:rPr>
        <w:t xml:space="preserve">Summary 2   </w:t>
      </w:r>
      <w:r>
        <w:rPr>
          <w:color w:val="6B7280"/>
          <w:sz w:val="15"/>
          <w:szCs w:val="15"/>
        </w:rPr>
        <w:t xml:space="preserve">In a Level C question, a recommendation earns credit only with a reason from the facts: how the asset is used and when its benefits arrive.</w:t>
      </w:r>
    </w:p>
    <w:p>
      <w:pPr>
        <w:sectPr>
          <w:headerReference w:type="default" r:id="rIdHdr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10.4  Disposal of fixed assets</w:t>
            </w:r>
          </w:p>
          <w:p>
            <w:pPr>
              <w:spacing w:before="0" w:after="46"/>
            </w:pPr>
            <w:r>
              <w:rPr>
                <w:color w:val="E8EAF6"/>
                <w:sz w:val="16"/>
                <w:szCs w:val="16"/>
              </w:rPr>
              <w:t xml:space="preserve">Chapter 10 · section 10.4</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1–4</w:t>
      </w:r>
    </w:p>
    <w:p>
      <w:pPr>
        <w:spacing w:before="20" w:after="20" w:line="360" w:lineRule="auto"/>
        <w:ind w:left="200"/>
      </w:pPr>
      <w:r>
        <w:rPr>
          <w:sz w:val="19"/>
          <w:szCs w:val="19"/>
        </w:rPr>
        <w:t xml:space="preserve">When a company sells or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an asset, it first records depreciation up to the date of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w:t>
      </w:r>
      <w:r>
        <w:rPr>
          <w:sz w:val="19"/>
          <w:szCs w:val="19"/>
        </w:rPr>
        <w:t xml:space="preserve">Then it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the cost and the accumulated depreciation and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the proceeds with the carrying amount. </w:t>
      </w:r>
      <w:r>
        <w:rPr>
          <w:sz w:val="19"/>
          <w:szCs w:val="19"/>
        </w:rPr>
        <w:t xml:space="preserve">The gain or loss is part of income from continuing operations.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disposal   ·   removes   ·   scraps   ·   compares   ·   insurance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Selling an old oven in Dubai</w:t>
            </w:r>
          </w:p>
        </w:tc>
      </w:tr>
    </w:tbl>
    <w:p/>
    <w:p>
      <w:pPr>
        <w:spacing w:before="44" w:after="10"/>
      </w:pPr>
      <w:r>
        <w:rPr>
          <w:b/>
          <w:bCs/>
          <w:color w:val="353A7C"/>
          <w:sz w:val="18"/>
          <w:szCs w:val="18"/>
        </w:rPr>
        <w:t xml:space="preserve">Which way it goes</w:t>
      </w:r>
    </w:p>
    <w:p>
      <w:pPr>
        <w:spacing w:before="0" w:after="12"/>
      </w:pPr>
      <w:r>
        <w:rPr>
          <w:color w:val="6B7280"/>
          <w:sz w:val="15"/>
          <w:szCs w:val="15"/>
        </w:rPr>
        <w:t xml:space="preserve">The rows are a set, not a sequence.</w:t>
      </w:r>
    </w:p>
    <w:p>
      <w:pPr>
        <w:spacing w:after="40" w:before="90"/>
        <w:jc w:val="center"/>
      </w:pPr>
      <w:r>
        <w:drawing>
          <wp:inline distT="0" distB="0" distL="0" distR="0">
            <wp:extent cx="5734050" cy="137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5734050" cy="13731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records a gain   ·   held for sale</w:t>
            </w:r>
          </w:p>
        </w:tc>
      </w:tr>
    </w:tbl>
    <w:p/>
    <w:p>
      <w:pPr>
        <w:spacing w:before="44" w:after="14"/>
      </w:pPr>
      <w:r>
        <w:rPr>
          <w:b/>
          <w:bCs/>
          <w:color w:val="353A7C"/>
          <w:sz w:val="18"/>
          <w:szCs w:val="18"/>
        </w:rPr>
        <w:t xml:space="preserve">Summary 2</w:t>
      </w:r>
      <w:r>
        <w:rPr>
          <w:color w:val="6B7280"/>
          <w:sz w:val="16"/>
          <w:szCs w:val="16"/>
        </w:rPr>
        <w:t xml:space="preserve">      gaps 6–13</w:t>
      </w:r>
    </w:p>
    <w:p>
      <w:pPr>
        <w:spacing w:before="20" w:after="20" w:line="360" w:lineRule="auto"/>
        <w:ind w:left="200"/>
      </w:pPr>
      <w:r>
        <w:rPr>
          <w:sz w:val="19"/>
          <w:szCs w:val="19"/>
        </w:rPr>
        <w:t xml:space="preserve">An old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oven cost $60,000. </w:t>
      </w:r>
      <w:r>
        <w:rPr>
          <w:sz w:val="19"/>
          <w:szCs w:val="19"/>
        </w:rPr>
        <w:t xml:space="preserve">At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1, accumulated depreciation was $40,000, and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depreciation is $8,000 a year. </w:t>
      </w:r>
      <w:r>
        <w:rPr>
          <w:sz w:val="19"/>
          <w:szCs w:val="19"/>
        </w:rPr>
        <w:t xml:space="preserve"/>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sells the oven after 3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for $21,000. </w:t>
      </w:r>
      <w:r>
        <w:rPr>
          <w:sz w:val="19"/>
          <w:szCs w:val="19"/>
        </w:rPr>
        <w:t xml:space="preserve">Two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cases appear on the exam. </w:t>
      </w:r>
      <w:r>
        <w:rPr>
          <w:sz w:val="19"/>
          <w:szCs w:val="19"/>
        </w:rPr>
        <w:t xml:space="preserve">In an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conversion, such as a fire or a government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the company records a gain or loss even if it reinvests the insurance money. </w:t>
      </w:r>
      <w:r>
        <w:rPr>
          <w:sz w:val="19"/>
          <w:szCs w:val="19"/>
        </w:rPr>
        <w:t xml:space="preserve">In an exchange of assets with commercial substance, the new asset is recorded at fair value and the gain or loss is recognized; without commercial substance, the exchange is recorded at book value.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involuntary   ·   straight-line   ·   Orontes   ·   months   ·   January   ·   special   ·   without   ·   pastry   ·   expropriation</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Update first</w:t>
            </w:r>
          </w:p>
        </w:tc>
      </w:tr>
    </w:tbl>
    <w:p/>
    <w:p>
      <w:pPr>
        <w:spacing w:before="44" w:after="14"/>
      </w:pPr>
      <w:r>
        <w:rPr>
          <w:b/>
          <w:bCs/>
          <w:color w:val="353A7C"/>
          <w:sz w:val="18"/>
          <w:szCs w:val="18"/>
        </w:rPr>
        <w:t xml:space="preserve">Summary 3</w:t>
      </w:r>
      <w:r>
        <w:rPr>
          <w:color w:val="6B7280"/>
          <w:sz w:val="16"/>
          <w:szCs w:val="16"/>
        </w:rPr>
        <w:t xml:space="preserve">      gaps 14–15</w:t>
      </w:r>
    </w:p>
    <w:p>
      <w:pPr>
        <w:spacing w:before="20" w:after="20" w:line="360" w:lineRule="auto"/>
        <w:ind w:left="200"/>
      </w:pPr>
      <w:r>
        <w:rPr>
          <w:sz w:val="19"/>
          <w:szCs w:val="19"/>
        </w:rPr>
        <w:t xml:space="preserve">Record depreciation up to the sale date before you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the gain or loss. </w:t>
      </w:r>
      <w:r>
        <w:rPr>
          <w:sz w:val="19"/>
          <w:szCs w:val="19"/>
        </w:rPr>
        <w:t xml:space="preserve">Compare proceeds with the carrying amount, not with the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cost.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Compare   ·   original   ·   compute</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07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5734050" cy="20748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carrying amount   ·   involuntary conversion   ·   depreciable base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involuntary conversion</w:t>
            </w:r>
          </w:p>
        </w:tc>
        <w:tc>
          <w:tcPr>
            <w:tcW w:type="pct" w:w="2400"/>
            <w:tcMar>
              <w:top w:type="dxa" w:w="50"/>
              <w:left w:type="dxa" w:w="110"/>
              <w:bottom w:type="dxa" w:w="50"/>
              <w:right w:type="dxa" w:w="110"/>
            </w:tcMar>
          </w:tcPr>
          <w:p>
            <w:pPr>
              <w:spacing w:before="26" w:after="26"/>
            </w:pPr>
            <w:r>
              <w:rPr>
                <w:color w:val="232733"/>
                <w:sz w:val="16"/>
                <w:szCs w:val="16"/>
              </w:rPr>
              <w:t xml:space="preserve">التحويل غير الإرادي</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commercial substance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الجوهر التجاري</w:t>
            </w:r>
          </w:p>
        </w:tc>
      </w:tr>
    </w:tbl>
    <w:p/>
    <w:p>
      <w:pPr>
        <w:sectPr>
          <w:headerReference w:type="default" r:id="rIdHdr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10.4  Disposal of fixed assets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scraps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months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disposal</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special</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removes</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involuntary</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compares</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expropriation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records a gain</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compute</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pastry</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original</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January</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carrying amount</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straight-line</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involuntary conversion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Orontes</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When a company sells or scraps an asset, it first records depreciation up to the date of disposal. Then it removes the cost and the accumulated depreciation and compares the proceeds with the carrying amount. The gain or loss is part of income from continuing operations.</w:t>
      </w:r>
    </w:p>
    <w:p>
      <w:pPr>
        <w:spacing w:before="20" w:after="20"/>
        <w:ind w:left="240" w:hanging="240"/>
      </w:pPr>
      <w:r>
        <w:rPr>
          <w:b/>
          <w:bCs/>
          <w:color w:val="353A7C"/>
          <w:sz w:val="15"/>
          <w:szCs w:val="15"/>
        </w:rPr>
        <w:t xml:space="preserve">Summary 2   </w:t>
      </w:r>
      <w:r>
        <w:rPr>
          <w:color w:val="6B7280"/>
          <w:sz w:val="15"/>
          <w:szCs w:val="15"/>
        </w:rPr>
        <w:t xml:space="preserve">An old pastry oven cost $60,000. At January 1, accumulated depreciation was $40,000, and straight-line depreciation is $8,000 a year. Orontes sells the oven after 3 months for $21,000. Two special cases appear on the exam. In an involuntary conversion, such as a fire or a government expropriation, the company records a gain or loss even if it reinvests the insurance money. In an exchange of assets with commercial substance, the new asset is recorded at fair value and the gain or loss is recognized; without commercial substance, the exchange is recorded at book value.</w:t>
      </w:r>
    </w:p>
    <w:p>
      <w:pPr>
        <w:spacing w:before="20" w:after="20"/>
        <w:ind w:left="240" w:hanging="240"/>
      </w:pPr>
      <w:r>
        <w:rPr>
          <w:b/>
          <w:bCs/>
          <w:color w:val="353A7C"/>
          <w:sz w:val="15"/>
          <w:szCs w:val="15"/>
        </w:rPr>
        <w:t xml:space="preserve">Summary 3   </w:t>
      </w:r>
      <w:r>
        <w:rPr>
          <w:color w:val="6B7280"/>
          <w:sz w:val="15"/>
          <w:szCs w:val="15"/>
        </w:rPr>
        <w:t xml:space="preserve">Record depreciation up to the sale date before you compute the gain or loss. Compare proceeds with the carrying amount, not with the original cost.</w:t>
      </w:r>
    </w:p>
    <w:p>
      <w:pPr>
        <w:sectPr>
          <w:headerReference w:type="default" r:id="rIdHdr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10.5  Impairment of long-lived assets, intangibles and goodwill</w:t>
            </w:r>
          </w:p>
          <w:p>
            <w:pPr>
              <w:spacing w:before="0" w:after="46"/>
            </w:pPr>
            <w:r>
              <w:rPr>
                <w:color w:val="E8EAF6"/>
                <w:sz w:val="16"/>
                <w:szCs w:val="16"/>
              </w:rPr>
              <w:t xml:space="preserve">Chapter 10 · section 10.5</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1–12</w:t>
      </w:r>
    </w:p>
    <w:p>
      <w:pPr>
        <w:spacing w:before="20" w:after="20" w:line="360" w:lineRule="auto"/>
        <w:ind w:left="200"/>
      </w:pPr>
      <w:r>
        <w:rPr>
          <w:sz w:val="19"/>
          <w:szCs w:val="19"/>
        </w:rPr>
        <w:t xml:space="preserve">An impairment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when a company cannot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an asset's carrying amount. </w:t>
      </w:r>
      <w:r>
        <w:rPr>
          <w:sz w:val="19"/>
          <w:szCs w:val="19"/>
        </w:rPr>
        <w:t xml:space="preserve">U.S. GAAP uses different tests for different assets. </w:t>
      </w:r>
      <w:r>
        <w:rPr>
          <w:sz w:val="19"/>
          <w:szCs w:val="19"/>
        </w:rPr>
        <w:t xml:space="preserve">The company tests an asset group (the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level with its own cash flows) only when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suggest a problem, such as a sharp fall in market price, physical damage or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losses. </w:t>
      </w:r>
      <w:r>
        <w:rPr>
          <w:sz w:val="19"/>
          <w:szCs w:val="19"/>
        </w:rPr>
        <w:t xml:space="preserve">The test has two steps. </w:t>
      </w:r>
      <w:r>
        <w:rPr>
          <w:sz w:val="19"/>
          <w:szCs w:val="19"/>
        </w:rPr>
        <w:t xml:space="preserve">In the recoverability test, the company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the carrying amount with the sum of the undiscounted future cash flows. </w:t>
      </w:r>
      <w:r>
        <w:rPr>
          <w:sz w:val="19"/>
          <w:szCs w:val="19"/>
        </w:rPr>
        <w:t xml:space="preserve">If the carrying amount is not higher, there is no impairment, even if fair value is lower. </w:t>
      </w:r>
      <w:r>
        <w:rPr>
          <w:sz w:val="19"/>
          <w:szCs w:val="19"/>
        </w:rPr>
        <w:t xml:space="preserve">If it is higher, the company measures the loss as carrying amount minus fair value. </w:t>
      </w:r>
      <w:r>
        <w:rPr>
          <w:sz w:val="19"/>
          <w:szCs w:val="19"/>
        </w:rPr>
        <w:t xml:space="preserve">The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amount becomes the new cost basis and is depreciated over the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life. </w:t>
      </w:r>
      <w:r>
        <w:rPr>
          <w:sz w:val="19"/>
          <w:szCs w:val="19"/>
        </w:rPr>
        <w:t xml:space="preserve">The loss is never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under U.S. GAAP. </w:t>
      </w:r>
      <w:r>
        <w:rPr>
          <w:sz w:val="19"/>
          <w:szCs w:val="19"/>
        </w:rPr>
        <w:t xml:space="preserve">An asset is held for sale when management has committed to a plan to sell it, it is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for immediate sale, and the sale is expected within one year. </w:t>
      </w:r>
      <w:r>
        <w:rPr>
          <w:sz w:val="19"/>
          <w:szCs w:val="19"/>
        </w:rPr>
        <w:t xml:space="preserve">It is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at the lower of its carrying amount and fair value less cost to sell, and it is no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depreciated.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continuing   ·   lowest   ·   recover   ·   occurs   ·   measured   ·   indicators   ·   available   ·   reversed   ·   remaining   ·   longer   ·   reduced   ·   compares   ·   amortization</w:t>
            </w:r>
          </w:p>
        </w:tc>
      </w:tr>
    </w:tbl>
    <w:p/>
    <w:p>
      <w:pPr>
        <w:spacing w:before="44" w:after="14"/>
      </w:pPr>
      <w:r>
        <w:rPr>
          <w:b/>
          <w:bCs/>
          <w:color w:val="353A7C"/>
          <w:sz w:val="18"/>
          <w:szCs w:val="18"/>
        </w:rPr>
        <w:t xml:space="preserve">Summary 2</w:t>
      </w:r>
      <w:r>
        <w:rPr>
          <w:color w:val="6B7280"/>
          <w:sz w:val="16"/>
          <w:szCs w:val="16"/>
        </w:rPr>
        <w:t xml:space="preserve">      gaps 13–23</w:t>
      </w:r>
    </w:p>
    <w:p>
      <w:pPr>
        <w:spacing w:before="20" w:after="20" w:line="360" w:lineRule="auto"/>
        <w:ind w:left="200"/>
      </w:pPr>
      <w:r>
        <w:rPr>
          <w:sz w:val="19"/>
          <w:szCs w:val="19"/>
        </w:rPr>
        <w:t xml:space="preserve">If fair value less cost to sell rises later, the company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a gain, but only up to the losses it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before. </w:t>
      </w:r>
      <w:r>
        <w:rPr>
          <w:sz w:val="19"/>
          <w:szCs w:val="19"/>
        </w:rPr>
        <w:t xml:space="preserve"/>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intangibles, such as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are subject to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over their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lives and follow the PP&amp;E test. </w:t>
      </w:r>
      <w:r>
        <w:rPr>
          <w:sz w:val="19"/>
          <w:szCs w:val="19"/>
        </w:rPr>
        <w:t xml:space="preserve">An indefinite-lived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asset, such as a brand with no expected end, is not amortized. </w:t>
      </w:r>
      <w:r>
        <w:rPr>
          <w:sz w:val="19"/>
          <w:szCs w:val="19"/>
        </w:rPr>
        <w:t xml:space="preserve">It is tested at least every year in one step: carrying amount against fair value. </w:t>
      </w:r>
      <w:r>
        <w:rPr>
          <w:sz w:val="19"/>
          <w:szCs w:val="19"/>
        </w:rPr>
        <w:t xml:space="preserve">Goodwill is not amortized by </w:t>
      </w:r>
      <w:r>
        <w:rPr>
          <w:b/>
          <w:bCs/>
          <w:color w:val="8186EF"/>
          <w:sz w:val="15"/>
          <w:szCs w:val="15"/>
        </w:rPr>
        <w:t xml:space="preserve"> (20) </w:t>
      </w:r>
      <w:r>
        <w:rPr>
          <w:u w:val="single"/>
          <w:sz w:val="19"/>
          <w:szCs w:val="19"/>
        </w:rPr>
        <w:t xml:space="preserve">           </w:t>
      </w:r>
      <w:r>
        <w:rPr>
          <w:sz w:val="19"/>
          <w:szCs w:val="19"/>
        </w:rPr>
        <w:t xml:space="preserve"> </w:t>
      </w:r>
      <w:r>
        <w:rPr>
          <w:sz w:val="19"/>
          <w:szCs w:val="19"/>
        </w:rPr>
        <w:t xml:space="preserve"> companies. </w:t>
      </w:r>
      <w:r>
        <w:rPr>
          <w:sz w:val="19"/>
          <w:szCs w:val="19"/>
        </w:rPr>
        <w:t xml:space="preserve">It is tested at least every year at the level of the reporting unit. </w:t>
      </w:r>
      <w:r>
        <w:rPr>
          <w:sz w:val="19"/>
          <w:szCs w:val="19"/>
        </w:rPr>
        <w:t xml:space="preserve">A company may first make a </w:t>
      </w:r>
      <w:r>
        <w:rPr>
          <w:b/>
          <w:bCs/>
          <w:color w:val="8186EF"/>
          <w:sz w:val="15"/>
          <w:szCs w:val="15"/>
        </w:rPr>
        <w:t xml:space="preserve"> (21) </w:t>
      </w:r>
      <w:r>
        <w:rPr>
          <w:u w:val="single"/>
          <w:sz w:val="19"/>
          <w:szCs w:val="19"/>
        </w:rPr>
        <w:t xml:space="preserve">             </w:t>
      </w:r>
      <w:r>
        <w:rPr>
          <w:sz w:val="19"/>
          <w:szCs w:val="19"/>
        </w:rPr>
        <w:t xml:space="preserve"> </w:t>
      </w:r>
      <w:r>
        <w:rPr>
          <w:sz w:val="19"/>
          <w:szCs w:val="19"/>
        </w:rPr>
        <w:t xml:space="preserve"> assessment; if it is not more </w:t>
      </w:r>
      <w:r>
        <w:rPr>
          <w:b/>
          <w:bCs/>
          <w:color w:val="8186EF"/>
          <w:sz w:val="15"/>
          <w:szCs w:val="15"/>
        </w:rPr>
        <w:t xml:space="preserve"> (22) </w:t>
      </w:r>
      <w:r>
        <w:rPr>
          <w:u w:val="single"/>
          <w:sz w:val="19"/>
          <w:szCs w:val="19"/>
        </w:rPr>
        <w:t xml:space="preserve">           </w:t>
      </w:r>
      <w:r>
        <w:rPr>
          <w:sz w:val="19"/>
          <w:szCs w:val="19"/>
        </w:rPr>
        <w:t xml:space="preserve"> </w:t>
      </w:r>
      <w:r>
        <w:rPr>
          <w:sz w:val="19"/>
          <w:szCs w:val="19"/>
        </w:rPr>
        <w:t xml:space="preserve"> than not that the unit's fair value is below its carrying amount, no </w:t>
      </w:r>
      <w:r>
        <w:rPr>
          <w:b/>
          <w:bCs/>
          <w:color w:val="8186EF"/>
          <w:sz w:val="15"/>
          <w:szCs w:val="15"/>
        </w:rPr>
        <w:t xml:space="preserve"> (23) </w:t>
      </w:r>
      <w:r>
        <w:rPr>
          <w:u w:val="single"/>
          <w:sz w:val="19"/>
          <w:szCs w:val="19"/>
        </w:rPr>
        <w:t xml:space="preserve">           </w:t>
      </w:r>
      <w:r>
        <w:rPr>
          <w:sz w:val="19"/>
          <w:szCs w:val="19"/>
        </w:rPr>
        <w:t xml:space="preserve"> </w:t>
      </w:r>
      <w:r>
        <w:rPr>
          <w:sz w:val="19"/>
          <w:szCs w:val="19"/>
        </w:rPr>
        <w:t xml:space="preserve"> test is needed.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useful   ·   reversals   ·   recognized   ·   amortization   ·   public   ·   patents   ·   Finite-lived   ·   intangible   ·   further   ·   qualitative   ·   records   ·   likely</w:t>
            </w:r>
          </w:p>
        </w:tc>
      </w:tr>
    </w:tbl>
    <w:p/>
    <w:p>
      <w:pPr>
        <w:pageBreakBefore w:val="true"/>
        <w:spacing w:after="0"/>
      </w:pPr>
      <w:r>
        <w:rPr>
          <w:sz w:val="2"/>
        </w:rPr>
        <w:t xml:space="preserve"> </w:t>
      </w:r>
    </w:p>
    <w:p>
      <w:pPr>
        <w:spacing w:before="44" w:after="14"/>
      </w:pPr>
      <w:r>
        <w:rPr>
          <w:b/>
          <w:bCs/>
          <w:color w:val="353A7C"/>
          <w:sz w:val="18"/>
          <w:szCs w:val="18"/>
        </w:rPr>
        <w:t xml:space="preserve">Summary 3</w:t>
      </w:r>
      <w:r>
        <w:rPr>
          <w:color w:val="6B7280"/>
          <w:sz w:val="16"/>
          <w:szCs w:val="16"/>
        </w:rPr>
        <w:t xml:space="preserve">      gaps 24–35</w:t>
      </w:r>
    </w:p>
    <w:p>
      <w:pPr>
        <w:spacing w:before="20" w:after="20" w:line="360" w:lineRule="auto"/>
        <w:ind w:left="200"/>
      </w:pPr>
      <w:r>
        <w:rPr>
          <w:sz w:val="19"/>
          <w:szCs w:val="19"/>
        </w:rPr>
        <w:t xml:space="preserve">Otherwise it </w:t>
      </w:r>
      <w:r>
        <w:rPr>
          <w:b/>
          <w:bCs/>
          <w:color w:val="8186EF"/>
          <w:sz w:val="15"/>
          <w:szCs w:val="15"/>
        </w:rPr>
        <w:t xml:space="preserve"> (24) </w:t>
      </w:r>
      <w:r>
        <w:rPr>
          <w:u w:val="single"/>
          <w:sz w:val="19"/>
          <w:szCs w:val="19"/>
        </w:rPr>
        <w:t xml:space="preserve">           </w:t>
      </w:r>
      <w:r>
        <w:rPr>
          <w:sz w:val="19"/>
          <w:szCs w:val="19"/>
        </w:rPr>
        <w:t xml:space="preserve"> </w:t>
      </w:r>
      <w:r>
        <w:rPr>
          <w:sz w:val="19"/>
          <w:szCs w:val="19"/>
        </w:rPr>
        <w:t xml:space="preserve"> a single step: the loss is the unit's carrying amount minus its fair value, but never more than the goodwill. </w:t>
      </w:r>
      <w:r>
        <w:rPr>
          <w:sz w:val="19"/>
          <w:szCs w:val="19"/>
        </w:rPr>
        <w:t xml:space="preserve">It also shows the rule for </w:t>
      </w:r>
      <w:r>
        <w:rPr>
          <w:b/>
          <w:bCs/>
          <w:color w:val="8186EF"/>
          <w:sz w:val="15"/>
          <w:szCs w:val="15"/>
        </w:rPr>
        <w:t xml:space="preserve"> (25) </w:t>
      </w:r>
      <w:r>
        <w:rPr>
          <w:u w:val="single"/>
          <w:sz w:val="19"/>
          <w:szCs w:val="19"/>
        </w:rPr>
        <w:t xml:space="preserve">           </w:t>
      </w:r>
      <w:r>
        <w:rPr>
          <w:sz w:val="19"/>
          <w:szCs w:val="19"/>
        </w:rPr>
        <w:t xml:space="preserve"> </w:t>
      </w:r>
      <w:r>
        <w:rPr>
          <w:sz w:val="19"/>
          <w:szCs w:val="19"/>
        </w:rPr>
        <w:t xml:space="preserve"> and development (R&amp;D): U.S. GAAP expenses R&amp;D as incurred, except for equipment and </w:t>
      </w:r>
      <w:r>
        <w:rPr>
          <w:b/>
          <w:bCs/>
          <w:color w:val="8186EF"/>
          <w:sz w:val="15"/>
          <w:szCs w:val="15"/>
        </w:rPr>
        <w:t xml:space="preserve"> (26) </w:t>
      </w:r>
      <w:r>
        <w:rPr>
          <w:u w:val="single"/>
          <w:sz w:val="19"/>
          <w:szCs w:val="19"/>
        </w:rPr>
        <w:t xml:space="preserve">            </w:t>
      </w:r>
      <w:r>
        <w:rPr>
          <w:sz w:val="19"/>
          <w:szCs w:val="19"/>
        </w:rPr>
        <w:t xml:space="preserve"> </w:t>
      </w:r>
      <w:r>
        <w:rPr>
          <w:sz w:val="19"/>
          <w:szCs w:val="19"/>
        </w:rPr>
        <w:t xml:space="preserve"> that have other future uses. </w:t>
      </w:r>
      <w:r>
        <w:rPr>
          <w:sz w:val="19"/>
          <w:szCs w:val="19"/>
        </w:rPr>
        <w:t xml:space="preserve">ASU 2025-06 changes when companies start </w:t>
      </w:r>
      <w:r>
        <w:rPr>
          <w:b/>
          <w:bCs/>
          <w:color w:val="8186EF"/>
          <w:sz w:val="15"/>
          <w:szCs w:val="15"/>
        </w:rPr>
        <w:t xml:space="preserve"> (27) </w:t>
      </w:r>
      <w:r>
        <w:rPr>
          <w:u w:val="single"/>
          <w:sz w:val="19"/>
          <w:szCs w:val="19"/>
        </w:rPr>
        <w:t xml:space="preserve">              </w:t>
      </w:r>
      <w:r>
        <w:rPr>
          <w:sz w:val="19"/>
          <w:szCs w:val="19"/>
        </w:rPr>
        <w:t xml:space="preserve"> </w:t>
      </w:r>
      <w:r>
        <w:rPr>
          <w:sz w:val="19"/>
          <w:szCs w:val="19"/>
        </w:rPr>
        <w:t xml:space="preserve"> internal-use software (</w:t>
      </w:r>
      <w:r>
        <w:rPr>
          <w:b/>
          <w:bCs/>
          <w:color w:val="8186EF"/>
          <w:sz w:val="15"/>
          <w:szCs w:val="15"/>
        </w:rPr>
        <w:t xml:space="preserve"> (28) </w:t>
      </w:r>
      <w:r>
        <w:rPr>
          <w:u w:val="single"/>
          <w:sz w:val="19"/>
          <w:szCs w:val="19"/>
        </w:rPr>
        <w:t xml:space="preserve">           </w:t>
      </w:r>
      <w:r>
        <w:rPr>
          <w:sz w:val="19"/>
          <w:szCs w:val="19"/>
        </w:rPr>
        <w:t xml:space="preserve"> </w:t>
      </w:r>
      <w:r>
        <w:rPr>
          <w:sz w:val="19"/>
          <w:szCs w:val="19"/>
        </w:rPr>
        <w:t xml:space="preserve"> for annual periods beginning after December 15, 2027). </w:t>
      </w:r>
      <w:r>
        <w:rPr>
          <w:sz w:val="19"/>
          <w:szCs w:val="19"/>
        </w:rPr>
        <w:t xml:space="preserve">ASU 2025-10 adds guidance on </w:t>
      </w:r>
      <w:r>
        <w:rPr>
          <w:b/>
          <w:bCs/>
          <w:color w:val="8186EF"/>
          <w:sz w:val="15"/>
          <w:szCs w:val="15"/>
        </w:rPr>
        <w:t xml:space="preserve"> (29) </w:t>
      </w:r>
      <w:r>
        <w:rPr>
          <w:u w:val="single"/>
          <w:sz w:val="19"/>
          <w:szCs w:val="19"/>
        </w:rPr>
        <w:t xml:space="preserve">            </w:t>
      </w:r>
      <w:r>
        <w:rPr>
          <w:sz w:val="19"/>
          <w:szCs w:val="19"/>
        </w:rPr>
        <w:t xml:space="preserve"> </w:t>
      </w:r>
      <w:r>
        <w:rPr>
          <w:sz w:val="19"/>
          <w:szCs w:val="19"/>
        </w:rPr>
        <w:t xml:space="preserve"> grants for assets. </w:t>
      </w:r>
      <w:r>
        <w:rPr>
          <w:sz w:val="19"/>
          <w:szCs w:val="19"/>
        </w:rPr>
        <w:t xml:space="preserve">Under the </w:t>
      </w:r>
      <w:r>
        <w:rPr>
          <w:b/>
          <w:bCs/>
          <w:color w:val="8186EF"/>
          <w:sz w:val="15"/>
          <w:szCs w:val="15"/>
        </w:rPr>
        <w:t xml:space="preserve"> (30) </w:t>
      </w:r>
      <w:r>
        <w:rPr>
          <w:u w:val="single"/>
          <w:sz w:val="19"/>
          <w:szCs w:val="19"/>
        </w:rPr>
        <w:t xml:space="preserve">           </w:t>
      </w:r>
      <w:r>
        <w:rPr>
          <w:sz w:val="19"/>
          <w:szCs w:val="19"/>
        </w:rPr>
        <w:t xml:space="preserve"> </w:t>
      </w:r>
      <w:r>
        <w:rPr>
          <w:sz w:val="19"/>
          <w:szCs w:val="19"/>
        </w:rPr>
        <w:t xml:space="preserve"> rule, neither is tested yet. </w:t>
      </w:r>
      <w:r>
        <w:rPr>
          <w:sz w:val="19"/>
          <w:szCs w:val="19"/>
        </w:rPr>
        <w:t xml:space="preserve">IAS 36 uses one step: compare the carrying amount with the </w:t>
      </w:r>
      <w:r>
        <w:rPr>
          <w:b/>
          <w:bCs/>
          <w:color w:val="8186EF"/>
          <w:sz w:val="15"/>
          <w:szCs w:val="15"/>
        </w:rPr>
        <w:t xml:space="preserve"> (31) </w:t>
      </w:r>
      <w:r>
        <w:rPr>
          <w:u w:val="single"/>
          <w:sz w:val="19"/>
          <w:szCs w:val="19"/>
        </w:rPr>
        <w:t xml:space="preserve">             </w:t>
      </w:r>
      <w:r>
        <w:rPr>
          <w:sz w:val="19"/>
          <w:szCs w:val="19"/>
        </w:rPr>
        <w:t xml:space="preserve"> </w:t>
      </w:r>
      <w:r>
        <w:rPr>
          <w:sz w:val="19"/>
          <w:szCs w:val="19"/>
        </w:rPr>
        <w:t xml:space="preserve"> amount, which is the higher of fair value less costs of disposal and value in use (a </w:t>
      </w:r>
      <w:r>
        <w:rPr>
          <w:b/>
          <w:bCs/>
          <w:color w:val="8186EF"/>
          <w:sz w:val="15"/>
          <w:szCs w:val="15"/>
        </w:rPr>
        <w:t xml:space="preserve"> (32) </w:t>
      </w:r>
      <w:r>
        <w:rPr>
          <w:u w:val="single"/>
          <w:sz w:val="19"/>
          <w:szCs w:val="19"/>
        </w:rPr>
        <w:t xml:space="preserve">            </w:t>
      </w:r>
      <w:r>
        <w:rPr>
          <w:sz w:val="19"/>
          <w:szCs w:val="19"/>
        </w:rPr>
        <w:t xml:space="preserve"> </w:t>
      </w:r>
      <w:r>
        <w:rPr>
          <w:sz w:val="19"/>
          <w:szCs w:val="19"/>
        </w:rPr>
        <w:t xml:space="preserve"> amount). </w:t>
      </w:r>
      <w:r>
        <w:rPr>
          <w:sz w:val="19"/>
          <w:szCs w:val="19"/>
        </w:rPr>
        <w:t xml:space="preserve">IFRS allows the </w:t>
      </w:r>
      <w:r>
        <w:rPr>
          <w:b/>
          <w:bCs/>
          <w:color w:val="8186EF"/>
          <w:sz w:val="15"/>
          <w:szCs w:val="15"/>
        </w:rPr>
        <w:t xml:space="preserve"> (33) </w:t>
      </w:r>
      <w:r>
        <w:rPr>
          <w:u w:val="single"/>
          <w:sz w:val="19"/>
          <w:szCs w:val="19"/>
        </w:rPr>
        <w:t xml:space="preserve">           </w:t>
      </w:r>
      <w:r>
        <w:rPr>
          <w:sz w:val="19"/>
          <w:szCs w:val="19"/>
        </w:rPr>
        <w:t xml:space="preserve"> </w:t>
      </w:r>
      <w:r>
        <w:rPr>
          <w:sz w:val="19"/>
          <w:szCs w:val="19"/>
        </w:rPr>
        <w:t xml:space="preserve"> of impairment losses on assets other than goodwill. </w:t>
      </w:r>
      <w:r>
        <w:rPr>
          <w:sz w:val="19"/>
          <w:szCs w:val="19"/>
        </w:rPr>
        <w:t xml:space="preserve">IAS 38 </w:t>
      </w:r>
      <w:r>
        <w:rPr>
          <w:b/>
          <w:bCs/>
          <w:color w:val="8186EF"/>
          <w:sz w:val="15"/>
          <w:szCs w:val="15"/>
        </w:rPr>
        <w:t xml:space="preserve"> (34) </w:t>
      </w:r>
      <w:r>
        <w:rPr>
          <w:u w:val="single"/>
          <w:sz w:val="19"/>
          <w:szCs w:val="19"/>
        </w:rPr>
        <w:t xml:space="preserve">           </w:t>
      </w:r>
      <w:r>
        <w:rPr>
          <w:sz w:val="19"/>
          <w:szCs w:val="19"/>
        </w:rPr>
        <w:t xml:space="preserve"> </w:t>
      </w:r>
      <w:r>
        <w:rPr>
          <w:sz w:val="19"/>
          <w:szCs w:val="19"/>
        </w:rPr>
        <w:t xml:space="preserve"> development costs to be capitalized when six </w:t>
      </w:r>
      <w:r>
        <w:rPr>
          <w:b/>
          <w:bCs/>
          <w:color w:val="8186EF"/>
          <w:sz w:val="15"/>
          <w:szCs w:val="15"/>
        </w:rPr>
        <w:t xml:space="preserve"> (35) </w:t>
      </w:r>
      <w:r>
        <w:rPr>
          <w:u w:val="single"/>
          <w:sz w:val="19"/>
          <w:szCs w:val="19"/>
        </w:rPr>
        <w:t xml:space="preserve">           </w:t>
      </w:r>
      <w:r>
        <w:rPr>
          <w:sz w:val="19"/>
          <w:szCs w:val="19"/>
        </w:rPr>
        <w:t xml:space="preserve"> </w:t>
      </w:r>
      <w:r>
        <w:rPr>
          <w:sz w:val="19"/>
          <w:szCs w:val="19"/>
        </w:rPr>
        <w:t xml:space="preserve"> are met. </w:t>
      </w:r>
      <w:r>
        <w:rPr>
          <w:sz w:val="19"/>
          <w:szCs w:val="19"/>
        </w:rPr>
        <w:t xml:space="preserve">These are the classic IFRS habits that cost marks on the U.S. GAAP exam.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effective   ·   requires   ·   reversal   ·   one-year   ·   criteria   ·   government   ·   applies   ·   research   ·   recoverable   ·   discounted   ·   facilities   ·   capitalizing   ·   compares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Impairment traps</w:t>
            </w:r>
          </w:p>
        </w:tc>
      </w:tr>
    </w:tbl>
    <w:p/>
    <w:p>
      <w:pPr>
        <w:spacing w:before="44" w:after="14"/>
      </w:pPr>
      <w:r>
        <w:rPr>
          <w:b/>
          <w:bCs/>
          <w:color w:val="353A7C"/>
          <w:sz w:val="18"/>
          <w:szCs w:val="18"/>
        </w:rPr>
        <w:t xml:space="preserve">Summary 4</w:t>
      </w:r>
      <w:r>
        <w:rPr>
          <w:color w:val="6B7280"/>
          <w:sz w:val="16"/>
          <w:szCs w:val="16"/>
        </w:rPr>
        <w:t xml:space="preserve">      gaps 36–40</w:t>
      </w:r>
    </w:p>
    <w:p>
      <w:pPr>
        <w:spacing w:before="20" w:after="20" w:line="360" w:lineRule="auto"/>
        <w:ind w:left="200"/>
      </w:pPr>
      <w:r>
        <w:rPr>
          <w:sz w:val="19"/>
          <w:szCs w:val="19"/>
        </w:rPr>
        <w:t xml:space="preserve">Step 1 uses UNDISCOUNTED cash flows. </w:t>
      </w:r>
      <w:r>
        <w:rPr>
          <w:sz w:val="19"/>
          <w:szCs w:val="19"/>
        </w:rPr>
        <w:t xml:space="preserve">Step 2 measures the loss against FAIR VALUE. </w:t>
      </w:r>
      <w:r>
        <w:rPr>
          <w:sz w:val="19"/>
          <w:szCs w:val="19"/>
        </w:rPr>
        <w:t xml:space="preserve">Goodwill: one step, and the loss is </w:t>
      </w:r>
      <w:r>
        <w:rPr>
          <w:b/>
          <w:bCs/>
          <w:color w:val="8186EF"/>
          <w:sz w:val="15"/>
          <w:szCs w:val="15"/>
        </w:rPr>
        <w:t xml:space="preserve"> (36) </w:t>
      </w:r>
      <w:r>
        <w:rPr>
          <w:u w:val="single"/>
          <w:sz w:val="19"/>
          <w:szCs w:val="19"/>
        </w:rPr>
        <w:t xml:space="preserve">           </w:t>
      </w:r>
      <w:r>
        <w:rPr>
          <w:sz w:val="19"/>
          <w:szCs w:val="19"/>
        </w:rPr>
        <w:t xml:space="preserve"> </w:t>
      </w:r>
      <w:r>
        <w:rPr>
          <w:sz w:val="19"/>
          <w:szCs w:val="19"/>
        </w:rPr>
        <w:t xml:space="preserve"> at the goodwill </w:t>
      </w:r>
      <w:r>
        <w:rPr>
          <w:b/>
          <w:bCs/>
          <w:color w:val="8186EF"/>
          <w:sz w:val="15"/>
          <w:szCs w:val="15"/>
        </w:rPr>
        <w:t xml:space="preserve"> (37) </w:t>
      </w:r>
      <w:r>
        <w:rPr>
          <w:u w:val="single"/>
          <w:sz w:val="19"/>
          <w:szCs w:val="19"/>
        </w:rPr>
        <w:t xml:space="preserve">           </w:t>
      </w:r>
      <w:r>
        <w:rPr>
          <w:sz w:val="19"/>
          <w:szCs w:val="19"/>
        </w:rPr>
        <w:t xml:space="preserve"> </w:t>
      </w:r>
      <w:r>
        <w:rPr>
          <w:sz w:val="19"/>
          <w:szCs w:val="19"/>
        </w:rPr>
        <w:t xml:space="preserve">. </w:t>
      </w:r>
      <w:r>
        <w:rPr>
          <w:sz w:val="19"/>
          <w:szCs w:val="19"/>
        </w:rPr>
        <w:t xml:space="preserve">No </w:t>
      </w:r>
      <w:r>
        <w:rPr>
          <w:b/>
          <w:bCs/>
          <w:color w:val="8186EF"/>
          <w:sz w:val="15"/>
          <w:szCs w:val="15"/>
        </w:rPr>
        <w:t xml:space="preserve"> (38) </w:t>
      </w:r>
      <w:r>
        <w:rPr>
          <w:u w:val="single"/>
          <w:sz w:val="19"/>
          <w:szCs w:val="19"/>
        </w:rPr>
        <w:t xml:space="preserve">           </w:t>
      </w:r>
      <w:r>
        <w:rPr>
          <w:sz w:val="19"/>
          <w:szCs w:val="19"/>
        </w:rPr>
        <w:t xml:space="preserve"> </w:t>
      </w:r>
      <w:r>
        <w:rPr>
          <w:sz w:val="19"/>
          <w:szCs w:val="19"/>
        </w:rPr>
        <w:t xml:space="preserve"> for assets held and used, indefinite-lived intangibles or goodwill. </w:t>
      </w:r>
      <w:r>
        <w:rPr>
          <w:sz w:val="19"/>
          <w:szCs w:val="19"/>
        </w:rPr>
        <w:t xml:space="preserve">Held for sale: gains only up to </w:t>
      </w:r>
      <w:r>
        <w:rPr>
          <w:b/>
          <w:bCs/>
          <w:color w:val="8186EF"/>
          <w:sz w:val="15"/>
          <w:szCs w:val="15"/>
        </w:rPr>
        <w:t xml:space="preserve"> (39) </w:t>
      </w:r>
      <w:r>
        <w:rPr>
          <w:u w:val="single"/>
          <w:sz w:val="19"/>
          <w:szCs w:val="19"/>
        </w:rPr>
        <w:t xml:space="preserve">           </w:t>
      </w:r>
      <w:r>
        <w:rPr>
          <w:sz w:val="19"/>
          <w:szCs w:val="19"/>
        </w:rPr>
        <w:t xml:space="preserve"> </w:t>
      </w:r>
      <w:r>
        <w:rPr>
          <w:sz w:val="19"/>
          <w:szCs w:val="19"/>
        </w:rPr>
        <w:t xml:space="preserve"> losses. </w:t>
      </w:r>
      <w:r>
        <w:rPr>
          <w:sz w:val="19"/>
          <w:szCs w:val="19"/>
        </w:rPr>
        <w:t xml:space="preserve">Stop </w:t>
      </w:r>
      <w:r>
        <w:rPr>
          <w:b/>
          <w:bCs/>
          <w:color w:val="8186EF"/>
          <w:sz w:val="15"/>
          <w:szCs w:val="15"/>
        </w:rPr>
        <w:t xml:space="preserve"> (40) </w:t>
      </w:r>
      <w:r>
        <w:rPr>
          <w:u w:val="single"/>
          <w:sz w:val="19"/>
          <w:szCs w:val="19"/>
        </w:rPr>
        <w:t xml:space="preserve">              </w:t>
      </w:r>
      <w:r>
        <w:rPr>
          <w:sz w:val="19"/>
          <w:szCs w:val="19"/>
        </w:rPr>
        <w:t xml:space="preserve"> </w:t>
      </w:r>
      <w:r>
        <w:rPr>
          <w:sz w:val="19"/>
          <w:szCs w:val="19"/>
        </w:rPr>
        <w:t xml:space="preserve"> an asset once it is held for sale.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balance   ·   Otherwise   ·   earlier   ·   capped   ·   reversals   ·   depreciating</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Impairment in three languages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091"/>
        <w:gridCol w:w="2102"/>
        <w:gridCol w:w="2710"/>
        <w:gridCol w:w="3697"/>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Impairment in three languages</w:t>
            </w:r>
          </w:p>
        </w:tc>
      </w:tr>
      <w:tr>
        <w:tc>
          <w:tcPr>
            <w:tcW w:type="pct" w:w="568"/>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1095"/>
            <w:shd w:fill="353A7C" w:val="clear"/>
            <w:tcMar>
              <w:top w:type="dxa" w:w="50"/>
              <w:left w:type="dxa" w:w="110"/>
              <w:bottom w:type="dxa" w:w="50"/>
              <w:right w:type="dxa" w:w="110"/>
            </w:tcMar>
          </w:tcPr>
          <w:p>
            <w:pPr>
              <w:spacing w:before="30" w:after="30"/>
            </w:pPr>
            <w:r>
              <w:rPr>
                <w:b/>
                <w:bCs/>
                <w:color w:val="FFFFFF"/>
                <w:sz w:val="15"/>
                <w:szCs w:val="15"/>
              </w:rPr>
              <w:t xml:space="preserve">Asset</w:t>
            </w:r>
          </w:p>
        </w:tc>
        <w:tc>
          <w:tcPr>
            <w:tcW w:type="pct" w:w="1412"/>
            <w:shd w:fill="353A7C" w:val="clear"/>
            <w:tcMar>
              <w:top w:type="dxa" w:w="50"/>
              <w:left w:type="dxa" w:w="110"/>
              <w:bottom w:type="dxa" w:w="50"/>
              <w:right w:type="dxa" w:w="110"/>
            </w:tcMar>
          </w:tcPr>
          <w:p>
            <w:pPr>
              <w:spacing w:before="30" w:after="30"/>
            </w:pPr>
            <w:r>
              <w:rPr>
                <w:b/>
                <w:bCs/>
                <w:color w:val="FFFFFF"/>
                <w:sz w:val="15"/>
                <w:szCs w:val="15"/>
              </w:rPr>
              <w:t xml:space="preserve">Facts</w:t>
            </w:r>
          </w:p>
        </w:tc>
        <w:tc>
          <w:tcPr>
            <w:tcW w:type="pct" w:w="1925"/>
            <w:shd w:fill="353A7C" w:val="clear"/>
            <w:tcMar>
              <w:top w:type="dxa" w:w="50"/>
              <w:left w:type="dxa" w:w="110"/>
              <w:bottom w:type="dxa" w:w="50"/>
              <w:right w:type="dxa" w:w="110"/>
            </w:tcMar>
          </w:tcPr>
          <w:p>
            <w:pPr>
              <w:spacing w:before="30" w:after="30"/>
            </w:pPr>
            <w:r>
              <w:rPr>
                <w:b/>
                <w:bCs/>
                <w:color w:val="FFFFFF"/>
                <w:sz w:val="15"/>
                <w:szCs w:val="15"/>
              </w:rPr>
              <w:t xml:space="preserve">Amounts (USD 000)</w:t>
            </w:r>
          </w:p>
        </w:tc>
      </w:tr>
      <w:tr>
        <w:tc>
          <w:tcPr>
            <w:tcW w:type="pct" w:w="568"/>
            <w:tcMar>
              <w:top w:type="dxa" w:w="50"/>
              <w:left w:type="dxa" w:w="110"/>
              <w:bottom w:type="dxa" w:w="50"/>
              <w:right w:type="dxa" w:w="110"/>
            </w:tcMar>
          </w:tcPr>
          <w:p>
            <w:pPr>
              <w:spacing w:before="28" w:after="28"/>
            </w:pPr>
            <w:r>
              <w:rPr>
                <w:sz w:val="15"/>
                <w:szCs w:val="15"/>
              </w:rPr>
              <w:t xml:space="preserve">P</w:t>
            </w:r>
          </w:p>
        </w:tc>
        <w:tc>
          <w:tcPr>
            <w:tcW w:type="pct" w:w="1095"/>
            <w:shd w:fill="FFFFFF" w:val="clear"/>
            <w:tcMar>
              <w:top w:type="dxa" w:w="50"/>
              <w:left w:type="dxa" w:w="110"/>
              <w:bottom w:type="dxa" w:w="50"/>
              <w:right w:type="dxa" w:w="110"/>
            </w:tcMar>
          </w:tcPr>
          <w:p>
            <w:pPr>
              <w:spacing w:before="46" w:after="46"/>
            </w:pPr>
            <w:r>
              <w:rPr>
                <w:b/>
                <w:bCs/>
                <w:color w:val="8186EF"/>
                <w:sz w:val="14"/>
                <w:szCs w:val="14"/>
              </w:rPr>
              <w:t xml:space="preserve">(41)</w:t>
            </w:r>
          </w:p>
        </w:tc>
        <w:tc>
          <w:tcPr>
            <w:tcW w:type="pct" w:w="1412"/>
            <w:tcMar>
              <w:top w:type="dxa" w:w="50"/>
              <w:left w:type="dxa" w:w="110"/>
              <w:bottom w:type="dxa" w:w="50"/>
              <w:right w:type="dxa" w:w="110"/>
            </w:tcMar>
          </w:tcPr>
          <w:p>
            <w:pPr>
              <w:spacing w:before="28" w:after="28"/>
            </w:pPr>
            <w:r>
              <w:rPr>
                <w:sz w:val="15"/>
                <w:szCs w:val="15"/>
              </w:rPr>
              <w:t xml:space="preserve">Demand for the product fell sharply in 2025.</w:t>
            </w:r>
          </w:p>
        </w:tc>
        <w:tc>
          <w:tcPr>
            <w:tcW w:type="pct" w:w="1925"/>
            <w:tcMar>
              <w:top w:type="dxa" w:w="50"/>
              <w:left w:type="dxa" w:w="110"/>
              <w:bottom w:type="dxa" w:w="50"/>
              <w:right w:type="dxa" w:w="110"/>
            </w:tcMar>
          </w:tcPr>
          <w:p>
            <w:pPr>
              <w:spacing w:before="28" w:after="28"/>
            </w:pPr>
            <w:r>
              <w:rPr>
                <w:sz w:val="15"/>
                <w:szCs w:val="15"/>
              </w:rPr>
              <w:t xml:space="preserve">carrying 500; undiscounted cash flows 450; fair value 380</w:t>
            </w:r>
          </w:p>
        </w:tc>
      </w:tr>
      <w:tr>
        <w:tc>
          <w:tcPr>
            <w:tcW w:type="pct" w:w="568"/>
            <w:shd w:fill="FBFAF6" w:val="clear"/>
            <w:tcMar>
              <w:top w:type="dxa" w:w="50"/>
              <w:left w:type="dxa" w:w="110"/>
              <w:bottom w:type="dxa" w:w="50"/>
              <w:right w:type="dxa" w:w="110"/>
            </w:tcMar>
          </w:tcPr>
          <w:p>
            <w:pPr>
              <w:spacing w:before="28" w:after="28"/>
            </w:pPr>
            <w:r>
              <w:rPr>
                <w:sz w:val="15"/>
                <w:szCs w:val="15"/>
              </w:rPr>
              <w:t xml:space="preserve">W</w:t>
            </w:r>
          </w:p>
        </w:tc>
        <w:tc>
          <w:tcPr>
            <w:tcW w:type="pct" w:w="1095"/>
            <w:shd w:fill="FBFAF6" w:val="clear"/>
            <w:tcMar>
              <w:top w:type="dxa" w:w="50"/>
              <w:left w:type="dxa" w:w="110"/>
              <w:bottom w:type="dxa" w:w="50"/>
              <w:right w:type="dxa" w:w="110"/>
            </w:tcMar>
          </w:tcPr>
          <w:p>
            <w:pPr>
              <w:spacing w:before="28" w:after="28"/>
            </w:pPr>
            <w:r>
              <w:rPr>
                <w:sz w:val="15"/>
                <w:szCs w:val="15"/>
              </w:rPr>
              <w:t xml:space="preserve">Warehouse, Amman</w:t>
            </w:r>
          </w:p>
        </w:tc>
        <w:tc>
          <w:tcPr>
            <w:tcW w:type="pct" w:w="1412"/>
            <w:shd w:fill="FFFFFF" w:val="clear"/>
            <w:tcMar>
              <w:top w:type="dxa" w:w="50"/>
              <w:left w:type="dxa" w:w="110"/>
              <w:bottom w:type="dxa" w:w="50"/>
              <w:right w:type="dxa" w:w="110"/>
            </w:tcMar>
          </w:tcPr>
          <w:p>
            <w:pPr>
              <w:spacing w:before="46" w:after="46"/>
            </w:pPr>
            <w:r>
              <w:rPr>
                <w:b/>
                <w:bCs/>
                <w:color w:val="8186EF"/>
                <w:sz w:val="14"/>
                <w:szCs w:val="14"/>
              </w:rPr>
              <w:t xml:space="preserve">(42)</w:t>
            </w:r>
          </w:p>
        </w:tc>
        <w:tc>
          <w:tcPr>
            <w:tcW w:type="pct" w:w="1925"/>
            <w:shd w:fill="FBFAF6" w:val="clear"/>
            <w:tcMar>
              <w:top w:type="dxa" w:w="50"/>
              <w:left w:type="dxa" w:w="110"/>
              <w:bottom w:type="dxa" w:w="50"/>
              <w:right w:type="dxa" w:w="110"/>
            </w:tcMar>
          </w:tcPr>
          <w:p>
            <w:pPr>
              <w:spacing w:before="28" w:after="28"/>
            </w:pPr>
            <w:r>
              <w:rPr>
                <w:sz w:val="15"/>
                <w:szCs w:val="15"/>
              </w:rPr>
              <w:t xml:space="preserve">carrying 1,000; undiscounted cash flows 1,300; fair value 900</w:t>
            </w:r>
          </w:p>
        </w:tc>
      </w:tr>
      <w:tr>
        <w:tc>
          <w:tcPr>
            <w:tcW w:type="pct" w:w="568"/>
            <w:tcMar>
              <w:top w:type="dxa" w:w="50"/>
              <w:left w:type="dxa" w:w="110"/>
              <w:bottom w:type="dxa" w:w="50"/>
              <w:right w:type="dxa" w:w="110"/>
            </w:tcMar>
          </w:tcPr>
          <w:p>
            <w:pPr>
              <w:spacing w:before="28" w:after="28"/>
            </w:pPr>
            <w:r>
              <w:rPr>
                <w:sz w:val="15"/>
                <w:szCs w:val="15"/>
              </w:rPr>
              <w:t xml:space="preserve">B</w:t>
            </w:r>
          </w:p>
        </w:tc>
        <w:tc>
          <w:tcPr>
            <w:tcW w:type="pct" w:w="1095"/>
            <w:tcMar>
              <w:top w:type="dxa" w:w="50"/>
              <w:left w:type="dxa" w:w="110"/>
              <w:bottom w:type="dxa" w:w="50"/>
              <w:right w:type="dxa" w:w="110"/>
            </w:tcMar>
          </w:tcPr>
          <w:p>
            <w:pPr>
              <w:spacing w:before="28" w:after="28"/>
            </w:pPr>
            <w:r>
              <w:rPr>
                <w:sz w:val="15"/>
                <w:szCs w:val="15"/>
              </w:rPr>
              <w:t xml:space="preserve">Brand 'Orontes Gold' (indefinite life)</w:t>
            </w:r>
          </w:p>
        </w:tc>
        <w:tc>
          <w:tcPr>
            <w:tcW w:type="pct" w:w="1412"/>
            <w:tcMar>
              <w:top w:type="dxa" w:w="50"/>
              <w:left w:type="dxa" w:w="110"/>
              <w:bottom w:type="dxa" w:w="50"/>
              <w:right w:type="dxa" w:w="110"/>
            </w:tcMar>
          </w:tcPr>
          <w:p>
            <w:pPr>
              <w:spacing w:before="28" w:after="28"/>
            </w:pPr>
            <w:r>
              <w:rPr>
                <w:sz w:val="15"/>
                <w:szCs w:val="15"/>
              </w:rPr>
              <w:t xml:space="preserve">Annual test.</w:t>
            </w:r>
          </w:p>
        </w:tc>
        <w:tc>
          <w:tcPr>
            <w:tcW w:type="pct" w:w="1925"/>
            <w:shd w:fill="FFFFFF" w:val="clear"/>
            <w:tcMar>
              <w:top w:type="dxa" w:w="50"/>
              <w:left w:type="dxa" w:w="110"/>
              <w:bottom w:type="dxa" w:w="50"/>
              <w:right w:type="dxa" w:w="110"/>
            </w:tcMar>
          </w:tcPr>
          <w:p>
            <w:pPr>
              <w:spacing w:before="46" w:after="46"/>
            </w:pPr>
            <w:r>
              <w:rPr>
                <w:b/>
                <w:bCs/>
                <w:color w:val="8186EF"/>
                <w:sz w:val="14"/>
                <w:szCs w:val="14"/>
              </w:rPr>
              <w:t xml:space="preserve">(43)</w:t>
            </w:r>
          </w:p>
        </w:tc>
      </w:tr>
      <w:tr>
        <w:tc>
          <w:tcPr>
            <w:tcW w:type="pct" w:w="568"/>
            <w:shd w:fill="FBFAF6" w:val="clear"/>
            <w:tcMar>
              <w:top w:type="dxa" w:w="50"/>
              <w:left w:type="dxa" w:w="110"/>
              <w:bottom w:type="dxa" w:w="50"/>
              <w:right w:type="dxa" w:w="110"/>
            </w:tcMar>
          </w:tcPr>
          <w:p>
            <w:pPr>
              <w:spacing w:before="28" w:after="28"/>
            </w:pPr>
            <w:r>
              <w:rPr>
                <w:sz w:val="15"/>
                <w:szCs w:val="15"/>
              </w:rPr>
              <w:t xml:space="preserve">G</w:t>
            </w:r>
          </w:p>
        </w:tc>
        <w:tc>
          <w:tcPr>
            <w:tcW w:type="pct" w:w="1095"/>
            <w:shd w:fill="FBFAF6" w:val="clear"/>
            <w:tcMar>
              <w:top w:type="dxa" w:w="50"/>
              <w:left w:type="dxa" w:w="110"/>
              <w:bottom w:type="dxa" w:w="50"/>
              <w:right w:type="dxa" w:w="110"/>
            </w:tcMar>
          </w:tcPr>
          <w:p>
            <w:pPr>
              <w:spacing w:before="28" w:after="28"/>
            </w:pPr>
            <w:r>
              <w:rPr>
                <w:sz w:val="15"/>
                <w:szCs w:val="15"/>
              </w:rPr>
              <w:t xml:space="preserve">Goodwill, Gulf beverages reporting unit</w:t>
            </w:r>
          </w:p>
        </w:tc>
        <w:tc>
          <w:tcPr>
            <w:tcW w:type="pct" w:w="1412"/>
            <w:shd w:fill="FFFFFF" w:val="clear"/>
            <w:tcMar>
              <w:top w:type="dxa" w:w="50"/>
              <w:left w:type="dxa" w:w="110"/>
              <w:bottom w:type="dxa" w:w="50"/>
              <w:right w:type="dxa" w:w="110"/>
            </w:tcMar>
          </w:tcPr>
          <w:p>
            <w:pPr>
              <w:spacing w:before="46" w:after="46"/>
            </w:pPr>
            <w:r>
              <w:rPr>
                <w:b/>
                <w:bCs/>
                <w:color w:val="8186EF"/>
                <w:sz w:val="14"/>
                <w:szCs w:val="14"/>
              </w:rPr>
              <w:t xml:space="preserve">(44)</w:t>
            </w:r>
          </w:p>
        </w:tc>
        <w:tc>
          <w:tcPr>
            <w:tcW w:type="pct" w:w="1925"/>
            <w:shd w:fill="FBFAF6" w:val="clear"/>
            <w:tcMar>
              <w:top w:type="dxa" w:w="50"/>
              <w:left w:type="dxa" w:w="110"/>
              <w:bottom w:type="dxa" w:w="50"/>
              <w:right w:type="dxa" w:w="110"/>
            </w:tcMar>
          </w:tcPr>
          <w:p>
            <w:pPr>
              <w:spacing w:before="28" w:after="28"/>
            </w:pPr>
            <w:r>
              <w:rPr>
                <w:sz w:val="15"/>
                <w:szCs w:val="15"/>
              </w:rPr>
              <w:t xml:space="preserve">carrying 2,000; goodwill included 150; fair value 1,700</w:t>
            </w:r>
          </w:p>
        </w:tc>
      </w:tr>
      <w:tr>
        <w:tc>
          <w:tcPr>
            <w:tcW w:type="pct" w:w="568"/>
            <w:tcMar>
              <w:top w:type="dxa" w:w="50"/>
              <w:left w:type="dxa" w:w="110"/>
              <w:bottom w:type="dxa" w:w="50"/>
              <w:right w:type="dxa" w:w="110"/>
            </w:tcMar>
          </w:tcPr>
          <w:p>
            <w:pPr>
              <w:spacing w:before="28" w:after="28"/>
            </w:pPr>
            <w:r>
              <w:rPr>
                <w:sz w:val="15"/>
                <w:szCs w:val="15"/>
              </w:rPr>
              <w:t xml:space="preserve">V</w:t>
            </w:r>
          </w:p>
        </w:tc>
        <w:tc>
          <w:tcPr>
            <w:tcW w:type="pct" w:w="1095"/>
            <w:shd w:fill="FFFFFF" w:val="clear"/>
            <w:tcMar>
              <w:top w:type="dxa" w:w="50"/>
              <w:left w:type="dxa" w:w="110"/>
              <w:bottom w:type="dxa" w:w="50"/>
              <w:right w:type="dxa" w:w="110"/>
            </w:tcMar>
          </w:tcPr>
          <w:p>
            <w:pPr>
              <w:spacing w:before="46" w:after="46"/>
            </w:pPr>
            <w:r>
              <w:rPr>
                <w:b/>
                <w:bCs/>
                <w:color w:val="8186EF"/>
                <w:sz w:val="14"/>
                <w:szCs w:val="14"/>
              </w:rPr>
              <w:t xml:space="preserve">(45)</w:t>
            </w:r>
          </w:p>
        </w:tc>
        <w:tc>
          <w:tcPr>
            <w:tcW w:type="pct" w:w="1412"/>
            <w:tcMar>
              <w:top w:type="dxa" w:w="50"/>
              <w:left w:type="dxa" w:w="110"/>
              <w:bottom w:type="dxa" w:w="50"/>
              <w:right w:type="dxa" w:w="110"/>
            </w:tcMar>
          </w:tcPr>
          <w:p>
            <w:pPr>
              <w:spacing w:before="28" w:after="28"/>
            </w:pPr>
            <w:r>
              <w:rPr>
                <w:sz w:val="15"/>
                <w:szCs w:val="15"/>
              </w:rPr>
              <w:t xml:space="preserve">Management has committed to sell it within one year.</w:t>
            </w:r>
          </w:p>
        </w:tc>
        <w:tc>
          <w:tcPr>
            <w:tcW w:type="pct" w:w="1925"/>
            <w:tcMar>
              <w:top w:type="dxa" w:w="50"/>
              <w:left w:type="dxa" w:w="110"/>
              <w:bottom w:type="dxa" w:w="50"/>
              <w:right w:type="dxa" w:w="110"/>
            </w:tcMar>
          </w:tcPr>
          <w:p>
            <w:pPr>
              <w:spacing w:before="28" w:after="28"/>
            </w:pPr>
            <w:r>
              <w:rPr>
                <w:sz w:val="15"/>
                <w:szCs w:val="15"/>
              </w:rPr>
              <w:t xml:space="preserve">carrying 60; fair value 50; cost to sell 4</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Local property prices fell.   ·   Unit carrying amount includes the goodwill.   ·   change in accounting estimate   ·   Pastry line, Dubai   ·   carrying 300; fair value 260   ·   Delivery van (held for sale)</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Asset — Category</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Asset</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Category</w:t>
            </w:r>
          </w:p>
        </w:tc>
      </w:tr>
      <w:tr>
        <w:tc>
          <w:tcPr>
            <w:tcW w:type="pct" w:w="2400"/>
            <w:tcMar>
              <w:top w:type="dxa" w:w="50"/>
              <w:left w:type="dxa" w:w="110"/>
              <w:bottom w:type="dxa" w:w="50"/>
              <w:right w:type="dxa" w:w="110"/>
            </w:tcMar>
          </w:tcPr>
          <w:p>
            <w:pPr>
              <w:spacing w:before="28" w:after="28"/>
            </w:pPr>
            <w:r>
              <w:rPr>
                <w:sz w:val="15"/>
                <w:szCs w:val="15"/>
              </w:rPr>
              <w:t xml:space="preserve">P</w:t>
            </w:r>
          </w:p>
        </w:tc>
        <w:tc>
          <w:tcPr>
            <w:tcW w:type="pct" w:w="2600"/>
            <w:tcMar>
              <w:top w:type="dxa" w:w="50"/>
              <w:left w:type="dxa" w:w="110"/>
              <w:bottom w:type="dxa" w:w="50"/>
              <w:right w:type="dxa" w:w="110"/>
            </w:tcMar>
          </w:tcPr>
          <w:p>
            <w:pPr>
              <w:spacing w:before="28" w:after="28"/>
            </w:pPr>
            <w:r>
              <w:rPr>
                <w:sz w:val="15"/>
                <w:szCs w:val="15"/>
              </w:rPr>
              <w:t xml:space="preserve">Two steps: recoverability, then fair value</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W</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(46)</w:t>
            </w:r>
          </w:p>
        </w:tc>
      </w:tr>
      <w:tr>
        <w:tc>
          <w:tcPr>
            <w:tcW w:type="pct" w:w="2400"/>
            <w:tcMar>
              <w:top w:type="dxa" w:w="50"/>
              <w:left w:type="dxa" w:w="110"/>
              <w:bottom w:type="dxa" w:w="50"/>
              <w:right w:type="dxa" w:w="110"/>
            </w:tcMar>
          </w:tcPr>
          <w:p>
            <w:pPr>
              <w:spacing w:before="28" w:after="28"/>
            </w:pPr>
            <w:r>
              <w:rPr>
                <w:sz w:val="15"/>
                <w:szCs w:val="15"/>
              </w:rPr>
              <w:t xml:space="preserve">B</w:t>
            </w:r>
          </w:p>
        </w:tc>
        <w:tc>
          <w:tcPr>
            <w:tcW w:type="pct" w:w="2600"/>
            <w:tcMar>
              <w:top w:type="dxa" w:w="50"/>
              <w:left w:type="dxa" w:w="110"/>
              <w:bottom w:type="dxa" w:w="50"/>
              <w:right w:type="dxa" w:w="110"/>
            </w:tcMar>
          </w:tcPr>
          <w:p>
            <w:pPr>
              <w:spacing w:before="28" w:after="28"/>
            </w:pPr>
            <w:r>
              <w:rPr>
                <w:sz w:val="15"/>
                <w:szCs w:val="15"/>
              </w:rPr>
              <w:t xml:space="preserve">One step: carrying amount vs fair value</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G</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(47)</w:t>
            </w:r>
          </w:p>
        </w:tc>
      </w:tr>
      <w:tr>
        <w:tc>
          <w:tcPr>
            <w:tcW w:type="pct" w:w="2400"/>
            <w:tcMar>
              <w:top w:type="dxa" w:w="50"/>
              <w:left w:type="dxa" w:w="110"/>
              <w:bottom w:type="dxa" w:w="50"/>
              <w:right w:type="dxa" w:w="110"/>
            </w:tcMar>
          </w:tcPr>
          <w:p>
            <w:pPr>
              <w:spacing w:before="28" w:after="28"/>
            </w:pPr>
            <w:r>
              <w:rPr>
                <w:sz w:val="15"/>
                <w:szCs w:val="15"/>
              </w:rPr>
              <w:t xml:space="preserve">V</w:t>
            </w:r>
          </w:p>
        </w:tc>
        <w:tc>
          <w:tcPr>
            <w:tcW w:type="pct" w:w="2600"/>
            <w:tcMar>
              <w:top w:type="dxa" w:w="50"/>
              <w:left w:type="dxa" w:w="110"/>
              <w:bottom w:type="dxa" w:w="50"/>
              <w:right w:type="dxa" w:w="110"/>
            </w:tcMar>
          </w:tcPr>
          <w:p>
            <w:pPr>
              <w:spacing w:before="28" w:after="28"/>
            </w:pPr>
            <w:r>
              <w:rPr>
                <w:sz w:val="15"/>
                <w:szCs w:val="15"/>
              </w:rPr>
              <w:t xml:space="preserve">Lower of carrying amount and fair value less cost to sell</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Brand 'Orontes Gold' (indefinite life)   ·   Two steps: recoverability, then fair value   ·   Single-step goodwill test</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97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5734050" cy="29726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impairment   ·   sum-of-the-years'-digits method   ·   reporting unit   ·   recoverability test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859"/>
        <w:gridCol w:w="4741"/>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531"/>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69"/>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531"/>
            <w:tcMar>
              <w:top w:type="dxa" w:w="50"/>
              <w:left w:type="dxa" w:w="110"/>
              <w:bottom w:type="dxa" w:w="50"/>
              <w:right w:type="dxa" w:w="110"/>
            </w:tcMar>
          </w:tcPr>
          <w:p>
            <w:pPr>
              <w:spacing w:before="26" w:after="26"/>
            </w:pPr>
            <w:r>
              <w:rPr>
                <w:color w:val="232733"/>
                <w:sz w:val="16"/>
                <w:szCs w:val="16"/>
              </w:rPr>
              <w:t xml:space="preserve">impairment</w:t>
            </w:r>
          </w:p>
        </w:tc>
        <w:tc>
          <w:tcPr>
            <w:tcW w:type="pct" w:w="2469"/>
            <w:tcMar>
              <w:top w:type="dxa" w:w="50"/>
              <w:left w:type="dxa" w:w="110"/>
              <w:bottom w:type="dxa" w:w="50"/>
              <w:right w:type="dxa" w:w="110"/>
            </w:tcMar>
          </w:tcPr>
          <w:p>
            <w:pPr>
              <w:spacing w:before="26" w:after="26"/>
            </w:pPr>
            <w:r>
              <w:rPr>
                <w:color w:val="232733"/>
                <w:sz w:val="16"/>
                <w:szCs w:val="16"/>
              </w:rPr>
              <w:t xml:space="preserve">الهبوط في القيمة (انخفاض القيمة)</w:t>
            </w:r>
          </w:p>
        </w:tc>
      </w:tr>
      <w:tr>
        <w:tc>
          <w:tcPr>
            <w:tcW w:type="pct" w:w="2531"/>
            <w:shd w:fill="FBFAF6" w:val="clear"/>
            <w:tcMar>
              <w:top w:type="dxa" w:w="50"/>
              <w:left w:type="dxa" w:w="110"/>
              <w:bottom w:type="dxa" w:w="50"/>
              <w:right w:type="dxa" w:w="110"/>
            </w:tcMar>
          </w:tcPr>
          <w:p>
            <w:pPr>
              <w:spacing w:before="26" w:after="26"/>
            </w:pPr>
            <w:r>
              <w:rPr>
                <w:color w:val="232733"/>
                <w:sz w:val="16"/>
                <w:szCs w:val="16"/>
              </w:rPr>
              <w:t xml:space="preserve">recoverability test</w:t>
            </w:r>
          </w:p>
        </w:tc>
        <w:tc>
          <w:tcPr>
            <w:tcW w:type="pct" w:w="2469"/>
            <w:shd w:fill="FBFAF6" w:val="clear"/>
            <w:tcMar>
              <w:top w:type="dxa" w:w="50"/>
              <w:left w:type="dxa" w:w="110"/>
              <w:bottom w:type="dxa" w:w="50"/>
              <w:right w:type="dxa" w:w="110"/>
            </w:tcMar>
          </w:tcPr>
          <w:p>
            <w:pPr>
              <w:spacing w:before="26" w:after="26"/>
            </w:pPr>
            <w:r>
              <w:rPr>
                <w:color w:val="232733"/>
                <w:sz w:val="16"/>
                <w:szCs w:val="16"/>
              </w:rPr>
              <w:t xml:space="preserve">اختبار قابلية الاسترداد</w:t>
            </w:r>
          </w:p>
        </w:tc>
      </w:tr>
      <w:tr>
        <w:tc>
          <w:tcPr>
            <w:tcW w:type="pct" w:w="2531"/>
            <w:tcMar>
              <w:top w:type="dxa" w:w="50"/>
              <w:left w:type="dxa" w:w="110"/>
              <w:bottom w:type="dxa" w:w="50"/>
              <w:right w:type="dxa" w:w="110"/>
            </w:tcMar>
          </w:tcPr>
          <w:p>
            <w:pPr>
              <w:spacing w:before="26" w:after="26"/>
            </w:pPr>
            <w:r>
              <w:rPr>
                <w:color w:val="232733"/>
                <w:sz w:val="16"/>
                <w:szCs w:val="16"/>
              </w:rPr>
              <w:t xml:space="preserve">held for sale</w:t>
            </w:r>
          </w:p>
        </w:tc>
        <w:tc>
          <w:tcPr>
            <w:tcW w:type="pct" w:w="2469"/>
            <w:tcMar>
              <w:top w:type="dxa" w:w="50"/>
              <w:left w:type="dxa" w:w="110"/>
              <w:bottom w:type="dxa" w:w="50"/>
              <w:right w:type="dxa" w:w="110"/>
            </w:tcMar>
          </w:tcPr>
          <w:p>
            <w:pPr>
              <w:spacing w:before="26" w:after="26"/>
            </w:pPr>
            <w:r>
              <w:rPr>
                <w:color w:val="232733"/>
                <w:sz w:val="16"/>
                <w:szCs w:val="16"/>
              </w:rPr>
              <w:t xml:space="preserve">محتفظ بها للبيع</w:t>
            </w:r>
          </w:p>
        </w:tc>
      </w:tr>
      <w:tr>
        <w:tc>
          <w:tcPr>
            <w:tcW w:type="pct" w:w="2531"/>
            <w:shd w:fill="FBFAF6" w:val="clear"/>
            <w:tcMar>
              <w:top w:type="dxa" w:w="50"/>
              <w:left w:type="dxa" w:w="110"/>
              <w:bottom w:type="dxa" w:w="50"/>
              <w:right w:type="dxa" w:w="110"/>
            </w:tcMar>
          </w:tcPr>
          <w:p>
            <w:pPr>
              <w:spacing w:before="26" w:after="26"/>
            </w:pPr>
            <w:r>
              <w:rPr>
                <w:color w:val="232733"/>
                <w:sz w:val="16"/>
                <w:szCs w:val="16"/>
              </w:rPr>
              <w:t xml:space="preserve">asset group</w:t>
            </w:r>
          </w:p>
        </w:tc>
        <w:tc>
          <w:tcPr>
            <w:tcW w:type="pct" w:w="2469"/>
            <w:shd w:fill="FBFAF6" w:val="clear"/>
            <w:tcMar>
              <w:top w:type="dxa" w:w="50"/>
              <w:left w:type="dxa" w:w="110"/>
              <w:bottom w:type="dxa" w:w="50"/>
              <w:right w:type="dxa" w:w="110"/>
            </w:tcMar>
          </w:tcPr>
          <w:p>
            <w:pPr>
              <w:spacing w:before="26" w:after="26"/>
            </w:pPr>
            <w:r>
              <w:rPr>
                <w:color w:val="232733"/>
                <w:sz w:val="16"/>
                <w:szCs w:val="16"/>
              </w:rPr>
              <w:t xml:space="preserve">مجموعة أصول</w:t>
            </w:r>
          </w:p>
        </w:tc>
      </w:tr>
      <w:tr>
        <w:tc>
          <w:tcPr>
            <w:tcW w:type="pct" w:w="2531"/>
            <w:tcMar>
              <w:top w:type="dxa" w:w="50"/>
              <w:left w:type="dxa" w:w="110"/>
              <w:bottom w:type="dxa" w:w="50"/>
              <w:right w:type="dxa" w:w="110"/>
            </w:tcMar>
          </w:tcPr>
          <w:p>
            <w:pPr>
              <w:spacing w:before="26" w:after="26"/>
            </w:pPr>
            <w:r>
              <w:rPr>
                <w:color w:val="232733"/>
                <w:sz w:val="16"/>
                <w:szCs w:val="16"/>
              </w:rPr>
              <w:t xml:space="preserve">goodwill</w:t>
            </w:r>
          </w:p>
        </w:tc>
        <w:tc>
          <w:tcPr>
            <w:tcW w:type="pct" w:w="2469"/>
            <w:tcMar>
              <w:top w:type="dxa" w:w="50"/>
              <w:left w:type="dxa" w:w="110"/>
              <w:bottom w:type="dxa" w:w="50"/>
              <w:right w:type="dxa" w:w="110"/>
            </w:tcMar>
          </w:tcPr>
          <w:p>
            <w:pPr>
              <w:spacing w:before="26" w:after="26"/>
            </w:pPr>
            <w:r>
              <w:rPr>
                <w:color w:val="232733"/>
                <w:sz w:val="16"/>
                <w:szCs w:val="16"/>
              </w:rPr>
              <w:t xml:space="preserve">الشهرة</w:t>
            </w:r>
          </w:p>
        </w:tc>
      </w:tr>
      <w:tr>
        <w:tc>
          <w:tcPr>
            <w:tcW w:type="pct" w:w="2531"/>
            <w:shd w:fill="FBFAF6" w:val="clear"/>
            <w:tcMar>
              <w:top w:type="dxa" w:w="50"/>
              <w:left w:type="dxa" w:w="110"/>
              <w:bottom w:type="dxa" w:w="50"/>
              <w:right w:type="dxa" w:w="110"/>
            </w:tcMar>
          </w:tcPr>
          <w:p>
            <w:pPr>
              <w:spacing w:before="26" w:after="26"/>
            </w:pPr>
            <w:r>
              <w:rPr>
                <w:color w:val="232733"/>
                <w:sz w:val="16"/>
                <w:szCs w:val="16"/>
              </w:rPr>
              <w:t xml:space="preserve">reporting unit</w:t>
            </w:r>
          </w:p>
        </w:tc>
        <w:tc>
          <w:tcPr>
            <w:tcW w:type="pct" w:w="2469"/>
            <w:shd w:fill="FBFAF6" w:val="clear"/>
            <w:tcMar>
              <w:top w:type="dxa" w:w="50"/>
              <w:left w:type="dxa" w:w="110"/>
              <w:bottom w:type="dxa" w:w="50"/>
              <w:right w:type="dxa" w:w="110"/>
            </w:tcMar>
          </w:tcPr>
          <w:p>
            <w:pPr>
              <w:spacing w:before="26" w:after="26"/>
            </w:pPr>
            <w:r>
              <w:rPr>
                <w:color w:val="232733"/>
                <w:sz w:val="16"/>
                <w:szCs w:val="16"/>
              </w:rPr>
              <w:t xml:space="preserve">وحدة إعداد التقارير</w:t>
            </w:r>
          </w:p>
        </w:tc>
      </w:tr>
      <w:tr>
        <w:tc>
          <w:tcPr>
            <w:tcW w:type="pct" w:w="2531"/>
            <w:tcMar>
              <w:top w:type="dxa" w:w="50"/>
              <w:left w:type="dxa" w:w="110"/>
              <w:bottom w:type="dxa" w:w="50"/>
              <w:right w:type="dxa" w:w="110"/>
            </w:tcMar>
          </w:tcPr>
          <w:p>
            <w:pPr>
              <w:spacing w:before="26" w:after="26"/>
            </w:pPr>
            <w:r>
              <w:rPr>
                <w:color w:val="232733"/>
                <w:sz w:val="16"/>
                <w:szCs w:val="16"/>
              </w:rPr>
              <w:t xml:space="preserve">indefinite-lived intangible asset</w:t>
            </w:r>
          </w:p>
        </w:tc>
        <w:tc>
          <w:tcPr>
            <w:tcW w:type="pct" w:w="2469"/>
            <w:tcMar>
              <w:top w:type="dxa" w:w="50"/>
              <w:left w:type="dxa" w:w="110"/>
              <w:bottom w:type="dxa" w:w="50"/>
              <w:right w:type="dxa" w:w="110"/>
            </w:tcMar>
          </w:tcPr>
          <w:p>
            <w:pPr>
              <w:spacing w:before="26" w:after="26"/>
            </w:pPr>
            <w:r>
              <w:rPr>
                <w:color w:val="232733"/>
                <w:sz w:val="16"/>
                <w:szCs w:val="16"/>
              </w:rPr>
              <w:t xml:space="preserve">أصل غير ملموس غير محدد العمر</w:t>
            </w:r>
          </w:p>
        </w:tc>
      </w:tr>
      <w:tr>
        <w:tc>
          <w:tcPr>
            <w:tcW w:type="pct" w:w="2531"/>
            <w:shd w:fill="FBFAF6" w:val="clear"/>
            <w:tcMar>
              <w:top w:type="dxa" w:w="50"/>
              <w:left w:type="dxa" w:w="110"/>
              <w:bottom w:type="dxa" w:w="50"/>
              <w:right w:type="dxa" w:w="110"/>
            </w:tcMar>
          </w:tcPr>
          <w:p>
            <w:pPr>
              <w:spacing w:before="26" w:after="26"/>
            </w:pPr>
            <w:r>
              <w:rPr>
                <w:color w:val="232733"/>
                <w:sz w:val="16"/>
                <w:szCs w:val="16"/>
              </w:rPr>
              <w:t xml:space="preserve">amortization</w:t>
            </w:r>
          </w:p>
        </w:tc>
        <w:tc>
          <w:tcPr>
            <w:tcW w:type="pct" w:w="2469"/>
            <w:shd w:fill="FBFAF6" w:val="clear"/>
            <w:tcMar>
              <w:top w:type="dxa" w:w="50"/>
              <w:left w:type="dxa" w:w="110"/>
              <w:bottom w:type="dxa" w:w="50"/>
              <w:right w:type="dxa" w:w="110"/>
            </w:tcMar>
          </w:tcPr>
          <w:p>
            <w:pPr>
              <w:spacing w:before="26" w:after="26"/>
            </w:pPr>
            <w:r>
              <w:rPr>
                <w:color w:val="232733"/>
                <w:sz w:val="16"/>
                <w:szCs w:val="16"/>
              </w:rPr>
              <w:t xml:space="preserve">الإطفاء</w:t>
            </w:r>
          </w:p>
        </w:tc>
      </w:tr>
      <w:tr>
        <w:tc>
          <w:tcPr>
            <w:tcW w:type="pct" w:w="2531"/>
            <w:tcMar>
              <w:top w:type="dxa" w:w="50"/>
              <w:left w:type="dxa" w:w="110"/>
              <w:bottom w:type="dxa" w:w="50"/>
              <w:right w:type="dxa" w:w="110"/>
            </w:tcMar>
          </w:tcPr>
          <w:p>
            <w:pPr>
              <w:spacing w:before="26" w:after="26"/>
            </w:pPr>
            <w:r>
              <w:rPr>
                <w:color w:val="232733"/>
                <w:sz w:val="16"/>
                <w:szCs w:val="16"/>
              </w:rPr>
              <w:t xml:space="preserve">research and development (R&amp;D)</w:t>
            </w:r>
          </w:p>
        </w:tc>
        <w:tc>
          <w:tcPr>
            <w:tcW w:type="pct" w:w="2469"/>
            <w:tcMar>
              <w:top w:type="dxa" w:w="50"/>
              <w:left w:type="dxa" w:w="110"/>
              <w:bottom w:type="dxa" w:w="50"/>
              <w:right w:type="dxa" w:w="110"/>
            </w:tcMar>
          </w:tcPr>
          <w:p>
            <w:pPr>
              <w:spacing w:before="26" w:after="26"/>
            </w:pPr>
            <w:r>
              <w:rPr>
                <w:color w:val="232733"/>
                <w:sz w:val="16"/>
                <w:szCs w:val="16"/>
              </w:rPr>
              <w:t xml:space="preserve">البحث والتطوير</w:t>
            </w:r>
          </w:p>
        </w:tc>
      </w:tr>
    </w:tbl>
    <w:p/>
    <w:p>
      <w:pPr>
        <w:sectPr>
          <w:headerReference w:type="default" r:id="rIdHdr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10.5  Impairment of long-lived assets, intangibles and goodwill</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occurs</w:t>
            </w:r>
          </w:p>
        </w:tc>
        <w:tc>
          <w:tcPr>
            <w:tcW w:type="pct" w:w="2500"/>
            <w:tcMar>
              <w:top w:type="dxa" w:w="20"/>
              <w:left w:type="dxa" w:w="80"/>
              <w:bottom w:type="dxa" w:w="20"/>
              <w:right w:type="dxa" w:w="80"/>
            </w:tcMar>
          </w:tcPr>
          <w:p>
            <w:pPr>
              <w:spacing w:before="12" w:after="12"/>
            </w:pPr>
            <w:r>
              <w:rPr>
                <w:b/>
                <w:bCs/>
                <w:color w:val="8186EF"/>
                <w:sz w:val="16"/>
                <w:szCs w:val="16"/>
              </w:rPr>
              <w:t xml:space="preserve">26  </w:t>
            </w:r>
            <w:r>
              <w:rPr>
                <w:sz w:val="16"/>
                <w:szCs w:val="16"/>
              </w:rPr>
              <w:t xml:space="preserve">facilities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recover</w:t>
            </w:r>
          </w:p>
        </w:tc>
        <w:tc>
          <w:tcPr>
            <w:tcW w:type="pct" w:w="2500"/>
            <w:tcMar>
              <w:top w:type="dxa" w:w="20"/>
              <w:left w:type="dxa" w:w="80"/>
              <w:bottom w:type="dxa" w:w="20"/>
              <w:right w:type="dxa" w:w="80"/>
            </w:tcMar>
          </w:tcPr>
          <w:p>
            <w:pPr>
              <w:spacing w:before="12" w:after="12"/>
            </w:pPr>
            <w:r>
              <w:rPr>
                <w:b/>
                <w:bCs/>
                <w:color w:val="8186EF"/>
                <w:sz w:val="16"/>
                <w:szCs w:val="16"/>
              </w:rPr>
              <w:t xml:space="preserve">27  </w:t>
            </w:r>
            <w:r>
              <w:rPr>
                <w:sz w:val="16"/>
                <w:szCs w:val="16"/>
              </w:rPr>
              <w:t xml:space="preserve">capitalizing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lowest</w:t>
            </w:r>
          </w:p>
        </w:tc>
        <w:tc>
          <w:tcPr>
            <w:tcW w:type="pct" w:w="2500"/>
            <w:tcMar>
              <w:top w:type="dxa" w:w="20"/>
              <w:left w:type="dxa" w:w="80"/>
              <w:bottom w:type="dxa" w:w="20"/>
              <w:right w:type="dxa" w:w="80"/>
            </w:tcMar>
          </w:tcPr>
          <w:p>
            <w:pPr>
              <w:spacing w:before="12" w:after="12"/>
            </w:pPr>
            <w:r>
              <w:rPr>
                <w:b/>
                <w:bCs/>
                <w:color w:val="8186EF"/>
                <w:sz w:val="16"/>
                <w:szCs w:val="16"/>
              </w:rPr>
              <w:t xml:space="preserve">28  </w:t>
            </w:r>
            <w:r>
              <w:rPr>
                <w:sz w:val="16"/>
                <w:szCs w:val="16"/>
              </w:rPr>
              <w:t xml:space="preserve">effective</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indicators</w:t>
            </w:r>
          </w:p>
        </w:tc>
        <w:tc>
          <w:tcPr>
            <w:tcW w:type="pct" w:w="2500"/>
            <w:tcMar>
              <w:top w:type="dxa" w:w="20"/>
              <w:left w:type="dxa" w:w="80"/>
              <w:bottom w:type="dxa" w:w="20"/>
              <w:right w:type="dxa" w:w="80"/>
            </w:tcMar>
          </w:tcPr>
          <w:p>
            <w:pPr>
              <w:spacing w:before="12" w:after="12"/>
            </w:pPr>
            <w:r>
              <w:rPr>
                <w:b/>
                <w:bCs/>
                <w:color w:val="8186EF"/>
                <w:sz w:val="16"/>
                <w:szCs w:val="16"/>
              </w:rPr>
              <w:t xml:space="preserve">29  </w:t>
            </w:r>
            <w:r>
              <w:rPr>
                <w:sz w:val="16"/>
                <w:szCs w:val="16"/>
              </w:rPr>
              <w:t xml:space="preserve">government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continuing</w:t>
            </w:r>
          </w:p>
        </w:tc>
        <w:tc>
          <w:tcPr>
            <w:tcW w:type="pct" w:w="2500"/>
            <w:tcMar>
              <w:top w:type="dxa" w:w="20"/>
              <w:left w:type="dxa" w:w="80"/>
              <w:bottom w:type="dxa" w:w="20"/>
              <w:right w:type="dxa" w:w="80"/>
            </w:tcMar>
          </w:tcPr>
          <w:p>
            <w:pPr>
              <w:spacing w:before="12" w:after="12"/>
            </w:pPr>
            <w:r>
              <w:rPr>
                <w:b/>
                <w:bCs/>
                <w:color w:val="8186EF"/>
                <w:sz w:val="16"/>
                <w:szCs w:val="16"/>
              </w:rPr>
              <w:t xml:space="preserve">30  </w:t>
            </w:r>
            <w:r>
              <w:rPr>
                <w:sz w:val="16"/>
                <w:szCs w:val="16"/>
              </w:rPr>
              <w:t xml:space="preserve">one-year</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compares</w:t>
            </w:r>
          </w:p>
        </w:tc>
        <w:tc>
          <w:tcPr>
            <w:tcW w:type="pct" w:w="2500"/>
            <w:tcMar>
              <w:top w:type="dxa" w:w="20"/>
              <w:left w:type="dxa" w:w="80"/>
              <w:bottom w:type="dxa" w:w="20"/>
              <w:right w:type="dxa" w:w="80"/>
            </w:tcMar>
          </w:tcPr>
          <w:p>
            <w:pPr>
              <w:spacing w:before="12" w:after="12"/>
            </w:pPr>
            <w:r>
              <w:rPr>
                <w:b/>
                <w:bCs/>
                <w:color w:val="8186EF"/>
                <w:sz w:val="16"/>
                <w:szCs w:val="16"/>
              </w:rPr>
              <w:t xml:space="preserve">31  </w:t>
            </w:r>
            <w:r>
              <w:rPr>
                <w:sz w:val="16"/>
                <w:szCs w:val="16"/>
              </w:rPr>
              <w:t xml:space="preserve">recoverable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reduced</w:t>
            </w:r>
          </w:p>
        </w:tc>
        <w:tc>
          <w:tcPr>
            <w:tcW w:type="pct" w:w="2500"/>
            <w:tcMar>
              <w:top w:type="dxa" w:w="20"/>
              <w:left w:type="dxa" w:w="80"/>
              <w:bottom w:type="dxa" w:w="20"/>
              <w:right w:type="dxa" w:w="80"/>
            </w:tcMar>
          </w:tcPr>
          <w:p>
            <w:pPr>
              <w:spacing w:before="12" w:after="12"/>
            </w:pPr>
            <w:r>
              <w:rPr>
                <w:b/>
                <w:bCs/>
                <w:color w:val="8186EF"/>
                <w:sz w:val="16"/>
                <w:szCs w:val="16"/>
              </w:rPr>
              <w:t xml:space="preserve">32  </w:t>
            </w:r>
            <w:r>
              <w:rPr>
                <w:sz w:val="16"/>
                <w:szCs w:val="16"/>
              </w:rPr>
              <w:t xml:space="preserve">discounted</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remaining</w:t>
            </w:r>
          </w:p>
        </w:tc>
        <w:tc>
          <w:tcPr>
            <w:tcW w:type="pct" w:w="2500"/>
            <w:tcMar>
              <w:top w:type="dxa" w:w="20"/>
              <w:left w:type="dxa" w:w="80"/>
              <w:bottom w:type="dxa" w:w="20"/>
              <w:right w:type="dxa" w:w="80"/>
            </w:tcMar>
          </w:tcPr>
          <w:p>
            <w:pPr>
              <w:spacing w:before="12" w:after="12"/>
            </w:pPr>
            <w:r>
              <w:rPr>
                <w:b/>
                <w:bCs/>
                <w:color w:val="8186EF"/>
                <w:sz w:val="16"/>
                <w:szCs w:val="16"/>
              </w:rPr>
              <w:t xml:space="preserve">33  </w:t>
            </w:r>
            <w:r>
              <w:rPr>
                <w:sz w:val="16"/>
                <w:szCs w:val="16"/>
              </w:rPr>
              <w:t xml:space="preserve">reversal</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reversed</w:t>
            </w:r>
          </w:p>
        </w:tc>
        <w:tc>
          <w:tcPr>
            <w:tcW w:type="pct" w:w="2500"/>
            <w:tcMar>
              <w:top w:type="dxa" w:w="20"/>
              <w:left w:type="dxa" w:w="80"/>
              <w:bottom w:type="dxa" w:w="20"/>
              <w:right w:type="dxa" w:w="80"/>
            </w:tcMar>
          </w:tcPr>
          <w:p>
            <w:pPr>
              <w:spacing w:before="12" w:after="12"/>
            </w:pPr>
            <w:r>
              <w:rPr>
                <w:b/>
                <w:bCs/>
                <w:color w:val="8186EF"/>
                <w:sz w:val="16"/>
                <w:szCs w:val="16"/>
              </w:rPr>
              <w:t xml:space="preserve">34  </w:t>
            </w:r>
            <w:r>
              <w:rPr>
                <w:sz w:val="16"/>
                <w:szCs w:val="16"/>
              </w:rPr>
              <w:t xml:space="preserve">requires</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available</w:t>
            </w:r>
          </w:p>
        </w:tc>
        <w:tc>
          <w:tcPr>
            <w:tcW w:type="pct" w:w="2500"/>
            <w:tcMar>
              <w:top w:type="dxa" w:w="20"/>
              <w:left w:type="dxa" w:w="80"/>
              <w:bottom w:type="dxa" w:w="20"/>
              <w:right w:type="dxa" w:w="80"/>
            </w:tcMar>
          </w:tcPr>
          <w:p>
            <w:pPr>
              <w:spacing w:before="12" w:after="12"/>
            </w:pPr>
            <w:r>
              <w:rPr>
                <w:b/>
                <w:bCs/>
                <w:color w:val="8186EF"/>
                <w:sz w:val="16"/>
                <w:szCs w:val="16"/>
              </w:rPr>
              <w:t xml:space="preserve">35  </w:t>
            </w:r>
            <w:r>
              <w:rPr>
                <w:sz w:val="16"/>
                <w:szCs w:val="16"/>
              </w:rPr>
              <w:t xml:space="preserve">criteria</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measured</w:t>
            </w:r>
          </w:p>
        </w:tc>
        <w:tc>
          <w:tcPr>
            <w:tcW w:type="pct" w:w="2500"/>
            <w:tcMar>
              <w:top w:type="dxa" w:w="20"/>
              <w:left w:type="dxa" w:w="80"/>
              <w:bottom w:type="dxa" w:w="20"/>
              <w:right w:type="dxa" w:w="80"/>
            </w:tcMar>
          </w:tcPr>
          <w:p>
            <w:pPr>
              <w:spacing w:before="12" w:after="12"/>
            </w:pPr>
            <w:r>
              <w:rPr>
                <w:b/>
                <w:bCs/>
                <w:color w:val="8186EF"/>
                <w:sz w:val="16"/>
                <w:szCs w:val="16"/>
              </w:rPr>
              <w:t xml:space="preserve">36  </w:t>
            </w:r>
            <w:r>
              <w:rPr>
                <w:sz w:val="16"/>
                <w:szCs w:val="16"/>
              </w:rPr>
              <w:t xml:space="preserve">capped</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longer</w:t>
            </w:r>
          </w:p>
        </w:tc>
        <w:tc>
          <w:tcPr>
            <w:tcW w:type="pct" w:w="2500"/>
            <w:tcMar>
              <w:top w:type="dxa" w:w="20"/>
              <w:left w:type="dxa" w:w="80"/>
              <w:bottom w:type="dxa" w:w="20"/>
              <w:right w:type="dxa" w:w="80"/>
            </w:tcMar>
          </w:tcPr>
          <w:p>
            <w:pPr>
              <w:spacing w:before="12" w:after="12"/>
            </w:pPr>
            <w:r>
              <w:rPr>
                <w:b/>
                <w:bCs/>
                <w:color w:val="8186EF"/>
                <w:sz w:val="16"/>
                <w:szCs w:val="16"/>
              </w:rPr>
              <w:t xml:space="preserve">37  </w:t>
            </w:r>
            <w:r>
              <w:rPr>
                <w:sz w:val="16"/>
                <w:szCs w:val="16"/>
              </w:rPr>
              <w:t xml:space="preserve">balance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records</w:t>
            </w:r>
          </w:p>
        </w:tc>
        <w:tc>
          <w:tcPr>
            <w:tcW w:type="pct" w:w="2500"/>
            <w:tcMar>
              <w:top w:type="dxa" w:w="20"/>
              <w:left w:type="dxa" w:w="80"/>
              <w:bottom w:type="dxa" w:w="20"/>
              <w:right w:type="dxa" w:w="80"/>
            </w:tcMar>
          </w:tcPr>
          <w:p>
            <w:pPr>
              <w:spacing w:before="12" w:after="12"/>
            </w:pPr>
            <w:r>
              <w:rPr>
                <w:b/>
                <w:bCs/>
                <w:color w:val="8186EF"/>
                <w:sz w:val="16"/>
                <w:szCs w:val="16"/>
              </w:rPr>
              <w:t xml:space="preserve">38  </w:t>
            </w:r>
            <w:r>
              <w:rPr>
                <w:sz w:val="16"/>
                <w:szCs w:val="16"/>
              </w:rPr>
              <w:t xml:space="preserve">reversals</w:t>
            </w:r>
          </w:p>
        </w:tc>
      </w:tr>
      <w:tr>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recognized</w:t>
            </w:r>
          </w:p>
        </w:tc>
        <w:tc>
          <w:tcPr>
            <w:tcW w:type="pct" w:w="2500"/>
            <w:tcMar>
              <w:top w:type="dxa" w:w="20"/>
              <w:left w:type="dxa" w:w="80"/>
              <w:bottom w:type="dxa" w:w="20"/>
              <w:right w:type="dxa" w:w="80"/>
            </w:tcMar>
          </w:tcPr>
          <w:p>
            <w:pPr>
              <w:spacing w:before="12" w:after="12"/>
            </w:pPr>
            <w:r>
              <w:rPr>
                <w:b/>
                <w:bCs/>
                <w:color w:val="8186EF"/>
                <w:sz w:val="16"/>
                <w:szCs w:val="16"/>
              </w:rPr>
              <w:t xml:space="preserve">39  </w:t>
            </w:r>
            <w:r>
              <w:rPr>
                <w:sz w:val="16"/>
                <w:szCs w:val="16"/>
              </w:rPr>
              <w:t xml:space="preserve">earlier</w:t>
            </w:r>
          </w:p>
        </w:tc>
      </w:tr>
      <w:tr>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Finite-lived</w:t>
            </w:r>
          </w:p>
        </w:tc>
        <w:tc>
          <w:tcPr>
            <w:tcW w:type="pct" w:w="2500"/>
            <w:tcMar>
              <w:top w:type="dxa" w:w="20"/>
              <w:left w:type="dxa" w:w="80"/>
              <w:bottom w:type="dxa" w:w="20"/>
              <w:right w:type="dxa" w:w="80"/>
            </w:tcMar>
          </w:tcPr>
          <w:p>
            <w:pPr>
              <w:spacing w:before="12" w:after="12"/>
            </w:pPr>
            <w:r>
              <w:rPr>
                <w:b/>
                <w:bCs/>
                <w:color w:val="8186EF"/>
                <w:sz w:val="16"/>
                <w:szCs w:val="16"/>
              </w:rPr>
              <w:t xml:space="preserve">40  </w:t>
            </w:r>
            <w:r>
              <w:rPr>
                <w:sz w:val="16"/>
                <w:szCs w:val="16"/>
              </w:rPr>
              <w:t xml:space="preserve">depreciating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patents</w:t>
            </w:r>
          </w:p>
        </w:tc>
        <w:tc>
          <w:tcPr>
            <w:tcW w:type="pct" w:w="2500"/>
            <w:tcMar>
              <w:top w:type="dxa" w:w="20"/>
              <w:left w:type="dxa" w:w="80"/>
              <w:bottom w:type="dxa" w:w="20"/>
              <w:right w:type="dxa" w:w="80"/>
            </w:tcMar>
          </w:tcPr>
          <w:p>
            <w:pPr>
              <w:spacing w:before="12" w:after="12"/>
            </w:pPr>
            <w:r>
              <w:rPr>
                <w:b/>
                <w:bCs/>
                <w:color w:val="8186EF"/>
                <w:sz w:val="16"/>
                <w:szCs w:val="16"/>
              </w:rPr>
              <w:t xml:space="preserve">41  </w:t>
            </w:r>
            <w:r>
              <w:rPr>
                <w:sz w:val="16"/>
                <w:szCs w:val="16"/>
              </w:rPr>
              <w:t xml:space="preserve">Pastry line, Dubai</w:t>
            </w:r>
          </w:p>
        </w:tc>
      </w:tr>
      <w:tr>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amortization</w:t>
            </w:r>
          </w:p>
        </w:tc>
        <w:tc>
          <w:tcPr>
            <w:tcW w:type="pct" w:w="2500"/>
            <w:tcMar>
              <w:top w:type="dxa" w:w="20"/>
              <w:left w:type="dxa" w:w="80"/>
              <w:bottom w:type="dxa" w:w="20"/>
              <w:right w:type="dxa" w:w="80"/>
            </w:tcMar>
          </w:tcPr>
          <w:p>
            <w:pPr>
              <w:spacing w:before="12" w:after="12"/>
            </w:pPr>
            <w:r>
              <w:rPr>
                <w:b/>
                <w:bCs/>
                <w:color w:val="8186EF"/>
                <w:sz w:val="16"/>
                <w:szCs w:val="16"/>
              </w:rPr>
              <w:t xml:space="preserve">42  </w:t>
            </w:r>
            <w:r>
              <w:rPr>
                <w:sz w:val="16"/>
                <w:szCs w:val="16"/>
              </w:rPr>
              <w:t xml:space="preserve">Local property prices fell.</w:t>
            </w:r>
          </w:p>
        </w:tc>
      </w:tr>
      <w:tr>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useful</w:t>
            </w:r>
          </w:p>
        </w:tc>
        <w:tc>
          <w:tcPr>
            <w:tcW w:type="pct" w:w="2500"/>
            <w:tcMar>
              <w:top w:type="dxa" w:w="20"/>
              <w:left w:type="dxa" w:w="80"/>
              <w:bottom w:type="dxa" w:w="20"/>
              <w:right w:type="dxa" w:w="80"/>
            </w:tcMar>
          </w:tcPr>
          <w:p>
            <w:pPr>
              <w:spacing w:before="12" w:after="12"/>
            </w:pPr>
            <w:r>
              <w:rPr>
                <w:b/>
                <w:bCs/>
                <w:color w:val="8186EF"/>
                <w:sz w:val="16"/>
                <w:szCs w:val="16"/>
              </w:rPr>
              <w:t xml:space="preserve">43  </w:t>
            </w:r>
            <w:r>
              <w:rPr>
                <w:sz w:val="16"/>
                <w:szCs w:val="16"/>
              </w:rPr>
              <w:t xml:space="preserve">carrying 300; fair value 260</w:t>
            </w:r>
          </w:p>
        </w:tc>
      </w:tr>
      <w:tr>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intangible</w:t>
            </w:r>
          </w:p>
        </w:tc>
        <w:tc>
          <w:tcPr>
            <w:tcW w:type="pct" w:w="2500"/>
            <w:tcMar>
              <w:top w:type="dxa" w:w="20"/>
              <w:left w:type="dxa" w:w="80"/>
              <w:bottom w:type="dxa" w:w="20"/>
              <w:right w:type="dxa" w:w="80"/>
            </w:tcMar>
          </w:tcPr>
          <w:p>
            <w:pPr>
              <w:spacing w:before="12" w:after="12"/>
            </w:pPr>
            <w:r>
              <w:rPr>
                <w:b/>
                <w:bCs/>
                <w:color w:val="8186EF"/>
                <w:sz w:val="16"/>
                <w:szCs w:val="16"/>
              </w:rPr>
              <w:t xml:space="preserve">44  </w:t>
            </w:r>
            <w:r>
              <w:rPr>
                <w:sz w:val="16"/>
                <w:szCs w:val="16"/>
              </w:rPr>
              <w:t xml:space="preserve">Unit carrying amount includes the goodwill.</w:t>
            </w:r>
          </w:p>
        </w:tc>
      </w:tr>
      <w:tr>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public</w:t>
            </w:r>
          </w:p>
        </w:tc>
        <w:tc>
          <w:tcPr>
            <w:tcW w:type="pct" w:w="2500"/>
            <w:tcMar>
              <w:top w:type="dxa" w:w="20"/>
              <w:left w:type="dxa" w:w="80"/>
              <w:bottom w:type="dxa" w:w="20"/>
              <w:right w:type="dxa" w:w="80"/>
            </w:tcMar>
          </w:tcPr>
          <w:p>
            <w:pPr>
              <w:spacing w:before="12" w:after="12"/>
            </w:pPr>
            <w:r>
              <w:rPr>
                <w:b/>
                <w:bCs/>
                <w:color w:val="8186EF"/>
                <w:sz w:val="16"/>
                <w:szCs w:val="16"/>
              </w:rPr>
              <w:t xml:space="preserve">45  </w:t>
            </w:r>
            <w:r>
              <w:rPr>
                <w:sz w:val="16"/>
                <w:szCs w:val="16"/>
              </w:rPr>
              <w:t xml:space="preserve">Delivery van (held for sale)</w:t>
            </w:r>
          </w:p>
        </w:tc>
      </w:tr>
      <w:tr>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qualitative</w:t>
            </w:r>
          </w:p>
        </w:tc>
        <w:tc>
          <w:tcPr>
            <w:tcW w:type="pct" w:w="2500"/>
            <w:tcMar>
              <w:top w:type="dxa" w:w="20"/>
              <w:left w:type="dxa" w:w="80"/>
              <w:bottom w:type="dxa" w:w="20"/>
              <w:right w:type="dxa" w:w="80"/>
            </w:tcMar>
          </w:tcPr>
          <w:p>
            <w:pPr>
              <w:spacing w:before="12" w:after="12"/>
            </w:pPr>
            <w:r>
              <w:rPr>
                <w:b/>
                <w:bCs/>
                <w:color w:val="8186EF"/>
                <w:sz w:val="16"/>
                <w:szCs w:val="16"/>
              </w:rPr>
              <w:t xml:space="preserve">46  </w:t>
            </w:r>
            <w:r>
              <w:rPr>
                <w:sz w:val="16"/>
                <w:szCs w:val="16"/>
              </w:rPr>
              <w:t xml:space="preserve">Two steps: recoverability, then fair value</w:t>
            </w:r>
          </w:p>
        </w:tc>
      </w:tr>
      <w:tr>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likely</w:t>
            </w:r>
          </w:p>
        </w:tc>
        <w:tc>
          <w:tcPr>
            <w:tcW w:type="pct" w:w="2500"/>
            <w:tcMar>
              <w:top w:type="dxa" w:w="20"/>
              <w:left w:type="dxa" w:w="80"/>
              <w:bottom w:type="dxa" w:w="20"/>
              <w:right w:type="dxa" w:w="80"/>
            </w:tcMar>
          </w:tcPr>
          <w:p>
            <w:pPr>
              <w:spacing w:before="12" w:after="12"/>
            </w:pPr>
            <w:r>
              <w:rPr>
                <w:b/>
                <w:bCs/>
                <w:color w:val="8186EF"/>
                <w:sz w:val="16"/>
                <w:szCs w:val="16"/>
              </w:rPr>
              <w:t xml:space="preserve">47  </w:t>
            </w:r>
            <w:r>
              <w:rPr>
                <w:sz w:val="16"/>
                <w:szCs w:val="16"/>
              </w:rPr>
              <w:t xml:space="preserve">Single-step goodwill test</w:t>
            </w:r>
          </w:p>
        </w:tc>
      </w:tr>
      <w:tr>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further</w:t>
            </w:r>
          </w:p>
        </w:tc>
        <w:tc>
          <w:tcPr>
            <w:tcW w:type="pct" w:w="2500"/>
            <w:tcMar>
              <w:top w:type="dxa" w:w="20"/>
              <w:left w:type="dxa" w:w="80"/>
              <w:bottom w:type="dxa" w:w="20"/>
              <w:right w:type="dxa" w:w="80"/>
            </w:tcMar>
          </w:tcPr>
          <w:p>
            <w:pPr>
              <w:spacing w:before="12" w:after="12"/>
            </w:pPr>
            <w:r>
              <w:rPr>
                <w:b/>
                <w:bCs/>
                <w:color w:val="8186EF"/>
                <w:sz w:val="16"/>
                <w:szCs w:val="16"/>
              </w:rPr>
              <w:t xml:space="preserve">48  </w:t>
            </w:r>
            <w:r>
              <w:rPr>
                <w:sz w:val="16"/>
                <w:szCs w:val="16"/>
              </w:rPr>
              <w:t xml:space="preserve">impairment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applies</w:t>
            </w:r>
          </w:p>
        </w:tc>
        <w:tc>
          <w:tcPr>
            <w:tcW w:type="pct" w:w="2500"/>
            <w:tcMar>
              <w:top w:type="dxa" w:w="20"/>
              <w:left w:type="dxa" w:w="80"/>
              <w:bottom w:type="dxa" w:w="20"/>
              <w:right w:type="dxa" w:w="80"/>
            </w:tcMar>
          </w:tcPr>
          <w:p>
            <w:pPr>
              <w:spacing w:before="12" w:after="12"/>
            </w:pPr>
            <w:r>
              <w:rPr>
                <w:b/>
                <w:bCs/>
                <w:color w:val="8186EF"/>
                <w:sz w:val="16"/>
                <w:szCs w:val="16"/>
              </w:rPr>
              <w:t xml:space="preserve">49  </w:t>
            </w:r>
            <w:r>
              <w:rPr>
                <w:sz w:val="16"/>
                <w:szCs w:val="16"/>
              </w:rPr>
              <w:t xml:space="preserve">recoverability test</w:t>
            </w:r>
          </w:p>
        </w:tc>
      </w:tr>
      <w:tr>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research</w:t>
            </w:r>
          </w:p>
        </w:tc>
        <w:tc>
          <w:tcPr>
            <w:tcW w:type="pct" w:w="2500"/>
            <w:tcMar>
              <w:top w:type="dxa" w:w="20"/>
              <w:left w:type="dxa" w:w="80"/>
              <w:bottom w:type="dxa" w:w="20"/>
              <w:right w:type="dxa" w:w="80"/>
            </w:tcMar>
          </w:tcPr>
          <w:p>
            <w:pPr>
              <w:spacing w:before="12" w:after="12"/>
            </w:pPr>
            <w:r>
              <w:rPr>
                <w:b/>
                <w:bCs/>
                <w:color w:val="8186EF"/>
                <w:sz w:val="16"/>
                <w:szCs w:val="16"/>
              </w:rPr>
              <w:t xml:space="preserve">50  </w:t>
            </w:r>
            <w:r>
              <w:rPr>
                <w:sz w:val="16"/>
                <w:szCs w:val="16"/>
              </w:rPr>
              <w:t xml:space="preserve">reporting unit</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An impairment occurs when a company cannot recover an asset's carrying amount. U.S. GAAP uses different tests for different assets. The company tests an asset group (the lowest level with its own cash flows) only when indicators suggest a problem, such as a sharp fall in market price, physical damage or continuing losses. The test has two steps. In the recoverability test, the company compares the carrying amount with the sum of the undiscounted future cash flows. If the carrying amount is not higher, there is no impairment, even if fair value is lower. If it is higher, the company measures the loss as carrying amount minus fair value. The reduced amount becomes the new cost basis and is depreciated over the remaining life. The loss is never reversed under U.S. GAAP. An asset is held for sale when management has committed to a plan to sell it, it is available for immediate sale, and the sale is expected within one year. It is measured at the lower of its carrying amount and fair value less cost to sell, and it is no longer depreciated.</w:t>
      </w:r>
    </w:p>
    <w:p>
      <w:pPr>
        <w:spacing w:before="20" w:after="20"/>
        <w:ind w:left="240" w:hanging="240"/>
      </w:pPr>
      <w:r>
        <w:rPr>
          <w:b/>
          <w:bCs/>
          <w:color w:val="353A7C"/>
          <w:sz w:val="15"/>
          <w:szCs w:val="15"/>
        </w:rPr>
        <w:t xml:space="preserve">Summary 2   </w:t>
      </w:r>
      <w:r>
        <w:rPr>
          <w:color w:val="6B7280"/>
          <w:sz w:val="15"/>
          <w:szCs w:val="15"/>
        </w:rPr>
        <w:t xml:space="preserve">If fair value less cost to sell rises later, the company records a gain, but only up to the losses it recognized before. Finite-lived intangibles, such as patents, are subject to amortization over their useful lives and follow the PP&amp;E test. An indefinite-lived intangible asset, such as a brand with no expected end, is not amortized. It is tested at least every year in one step: carrying amount against fair value. Goodwill is not amortized by public companies. It is tested at least every year at the level of the reporting unit. A company may first make a qualitative assessment; if it is not more likely than not that the unit's fair value is below its carrying amount, no further test is needed.</w:t>
      </w:r>
    </w:p>
    <w:p>
      <w:pPr>
        <w:spacing w:before="20" w:after="20"/>
        <w:ind w:left="240" w:hanging="240"/>
      </w:pPr>
      <w:r>
        <w:rPr>
          <w:b/>
          <w:bCs/>
          <w:color w:val="353A7C"/>
          <w:sz w:val="15"/>
          <w:szCs w:val="15"/>
        </w:rPr>
        <w:t xml:space="preserve">Summary 3   </w:t>
      </w:r>
      <w:r>
        <w:rPr>
          <w:color w:val="6B7280"/>
          <w:sz w:val="15"/>
          <w:szCs w:val="15"/>
        </w:rPr>
        <w:t xml:space="preserve">Otherwise it applies a single step: the loss is the unit's carrying amount minus its fair value, but never more than the goodwill. It also shows the rule for research and development (R&amp;D): U.S. GAAP expenses R&amp;D as incurred, except for equipment and facilities that have other future uses. ASU 2025-06 changes when companies start capitalizing internal-use software (effective for annual periods beginning after December 15, 2027). ASU 2025-10 adds guidance on government grants for assets. Under the one-year rule, neither is tested yet. IAS 36 uses one step: compare the carrying amount with the recoverable amount, which is the higher of fair value less costs of disposal and value in use (a discounted amount). IFRS allows the reversal of impairment losses on assets other than goodwill. IAS 38 requires development costs to be capitalized when six criteria are met. These are the classic IFRS habits that cost marks on the U.S. GAAP exam.</w:t>
      </w:r>
    </w:p>
    <w:p>
      <w:pPr>
        <w:spacing w:before="20" w:after="20"/>
        <w:ind w:left="240" w:hanging="240"/>
      </w:pPr>
      <w:r>
        <w:rPr>
          <w:b/>
          <w:bCs/>
          <w:color w:val="353A7C"/>
          <w:sz w:val="15"/>
          <w:szCs w:val="15"/>
        </w:rPr>
        <w:t xml:space="preserve">Summary 4   </w:t>
      </w:r>
      <w:r>
        <w:rPr>
          <w:color w:val="6B7280"/>
          <w:sz w:val="15"/>
          <w:szCs w:val="15"/>
        </w:rPr>
        <w:t xml:space="preserve">Step 1 uses UNDISCOUNTED cash flows. Step 2 measures the loss against FAIR VALUE. Goodwill: one step, and the loss is capped at the goodwill balance. No reversals for assets held and used, indefinite-lived intangibles or goodwill. Held for sale: gains only up to earlier losses. Stop depreciating an asset once it is held for sale.</w:t>
      </w:r>
    </w:p>
    <w:p>
      <w:pPr>
        <w:sectPr>
          <w:headerReference w:type="default" r:id="rIdHdr10"/>
          <w:pgSz w:w="11906" w:h="16838" w:orient="portrait"/>
          <w:pgMar w:top="1180" w:right="1000" w:bottom="900" w:left="1000" w:header="708" w:footer="708" w:gutter="0"/>
          <w:docGrid w:linePitch="360"/>
          <w:pgNumType w:start="1"/>
        </w:sectPr>
      </w:pPr>
    </w:p>
    <w:sectPr>
      <w:headerReference w:type="default" r:id="rIdHdr10"/>
      <w:pgSz w:w="11906" w:h="16838" w:orient="portrait"/>
      <w:pgMar w:top="1180" w:right="1000" w:bottom="900" w:left="1000" w:header="708" w:footer="708" w:gutter="0"/>
      <w:docGrid w:linePitch="360"/>
      <w:pgNumTyp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10.1 · The cost of property, plant and equipment</w:t>
          </w:r>
        </w:p>
      </w:tc>
      <w:tc>
        <w:tcPr>
          <w:tcW w:type="pct" w:w="1400"/>
          <w:tcMar>
            <w:top w:type="dxa" w:w="-30"/>
            <w:left w:type="dxa" w:w="30"/>
            <w:bottom w:type="dxa" w:w="-30"/>
            <w:right w:type="dxa" w:w="30"/>
          </w:tcMar>
        </w:tcPr>
        <w:p>
          <w:pPr>
            <w:jc w:val="right"/>
          </w:pPr>
          <w:r>
            <w:rPr>
              <w:color w:val="6B7280"/>
              <w:sz w:val="16"/>
              <w:szCs w:val="16"/>
            </w:rPr>
            <w:t xml:space="preserve">Handout 10.1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10.1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10.2 · Depreciation methods and their effects</w:t>
          </w:r>
        </w:p>
      </w:tc>
      <w:tc>
        <w:tcPr>
          <w:tcW w:type="pct" w:w="1400"/>
          <w:tcMar>
            <w:top w:type="dxa" w:w="-30"/>
            <w:left w:type="dxa" w:w="30"/>
            <w:bottom w:type="dxa" w:w="-30"/>
            <w:right w:type="dxa" w:w="30"/>
          </w:tcMar>
        </w:tcPr>
        <w:p>
          <w:pPr>
            <w:jc w:val="right"/>
          </w:pPr>
          <w:r>
            <w:rPr>
              <w:color w:val="6B7280"/>
              <w:sz w:val="16"/>
              <w:szCs w:val="16"/>
            </w:rPr>
            <w:t xml:space="preserve">Handout 10.2 — Page </w:t>
          </w:r>
          <w:fldSimple w:instr=" PAGE ">
            <w:r>
              <w:rPr>
                <w:b/>
                <w:bCs/>
                <w:color w:val="23265A"/>
                <w:sz w:val="16"/>
                <w:szCs w:val="16"/>
              </w:rPr>
              <w:t xml:space="preserve">1</w:t>
            </w:r>
          </w:fldSimple>
          <w:r>
            <w:rPr>
              <w:color w:val="6B7280"/>
              <w:sz w:val="16"/>
              <w:szCs w:val="16"/>
            </w:rPr>
            <w:t xml:space="preserve"> of 5</w:t>
          </w:r>
        </w:p>
      </w:tc>
    </w:tr>
  </w:tbl>
  <w:p>
    <w:pPr>
      <w:spacing w:after="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10.2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10.3 · Recommending a depreciation method</w:t>
          </w:r>
        </w:p>
      </w:tc>
      <w:tc>
        <w:tcPr>
          <w:tcW w:type="pct" w:w="1400"/>
          <w:tcMar>
            <w:top w:type="dxa" w:w="-30"/>
            <w:left w:type="dxa" w:w="30"/>
            <w:bottom w:type="dxa" w:w="-30"/>
            <w:right w:type="dxa" w:w="30"/>
          </w:tcMar>
        </w:tcPr>
        <w:p>
          <w:pPr>
            <w:jc w:val="right"/>
          </w:pPr>
          <w:r>
            <w:rPr>
              <w:color w:val="6B7280"/>
              <w:sz w:val="16"/>
              <w:szCs w:val="16"/>
            </w:rPr>
            <w:t xml:space="preserve">Handout 10.3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10.3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10.4 · Disposal of fixed assets</w:t>
          </w:r>
        </w:p>
      </w:tc>
      <w:tc>
        <w:tcPr>
          <w:tcW w:type="pct" w:w="1400"/>
          <w:tcMar>
            <w:top w:type="dxa" w:w="-30"/>
            <w:left w:type="dxa" w:w="30"/>
            <w:bottom w:type="dxa" w:w="-30"/>
            <w:right w:type="dxa" w:w="30"/>
          </w:tcMar>
        </w:tcPr>
        <w:p>
          <w:pPr>
            <w:jc w:val="right"/>
          </w:pPr>
          <w:r>
            <w:rPr>
              <w:color w:val="6B7280"/>
              <w:sz w:val="16"/>
              <w:szCs w:val="16"/>
            </w:rPr>
            <w:t xml:space="preserve">Handout 10.4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10.4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10.5 · Impairment of long-lived assets, intangibles and goodwill</w:t>
          </w:r>
        </w:p>
      </w:tc>
      <w:tc>
        <w:tcPr>
          <w:tcW w:type="pct" w:w="1400"/>
          <w:tcMar>
            <w:top w:type="dxa" w:w="-30"/>
            <w:left w:type="dxa" w:w="30"/>
            <w:bottom w:type="dxa" w:w="-30"/>
            <w:right w:type="dxa" w:w="30"/>
          </w:tcMar>
        </w:tcPr>
        <w:p>
          <w:pPr>
            <w:jc w:val="right"/>
          </w:pPr>
          <w:r>
            <w:rPr>
              <w:color w:val="6B7280"/>
              <w:sz w:val="16"/>
              <w:szCs w:val="16"/>
            </w:rPr>
            <w:t xml:space="preserve">Handout 10.5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10.5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defaultTabStop w:val="720"/>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Relationships xmlns="http://schemas.openxmlformats.org/package/2006/relationships"><Relationship Id="rIdstyles" Target="styles.xml" Type="http://schemas.openxmlformats.org/officeDocument/2006/relationships/styles"/><Relationship Id="rIdnumbering" Target="numbering.xml" Type="http://schemas.openxmlformats.org/officeDocument/2006/relationships/numbering"/><Relationship Id="rIdfontTable" Target="fontTable.xml" Type="http://schemas.openxmlformats.org/officeDocument/2006/relationships/fontTable"/><Relationship Id="rIdsettings" Target="settings.xml" Type="http://schemas.openxmlformats.org/officeDocument/2006/relationships/settings"/><Relationship Id="rId101" Target="media/9a78e68ea5c28c7993f9406368a6ecf213c4deb2.png" Type="http://schemas.openxmlformats.org/officeDocument/2006/relationships/image"/><Relationship Id="rId102" Target="media/12766161e94680159a2a21ae2ee0a457f938cdf7.png" Type="http://schemas.openxmlformats.org/officeDocument/2006/relationships/image"/><Relationship Id="rId103" Target="media/463ff603c995ba35fe4742eaea644b3cc0210cf3.png" Type="http://schemas.openxmlformats.org/officeDocument/2006/relationships/image"/><Relationship Id="rId104" Target="media/e7fc1e96a86b4383dfad244aa60706f641378ec6.png" Type="http://schemas.openxmlformats.org/officeDocument/2006/relationships/image"/><Relationship Id="rId105" Target="media/b98b533f7195bdb5942d4ab8bac8875166657f05.png" Type="http://schemas.openxmlformats.org/officeDocument/2006/relationships/image"/><Relationship Id="rId106" Target="media/7dad896d514947372e44cc77528976c0eab7b388.png" Type="http://schemas.openxmlformats.org/officeDocument/2006/relationships/image"/><Relationship Id="rId107" Target="media/5d53315d3e6fde613b8b91e7f6d985c7f177ccf1.png" Type="http://schemas.openxmlformats.org/officeDocument/2006/relationships/image"/><Relationship Id="rId108" Target="media/74c988504ab235d3e1218af4eb36c305eb3b82ee.png" Type="http://schemas.openxmlformats.org/officeDocument/2006/relationships/image"/><Relationship Id="rId109" Target="media/9dd87b9b12328c77c7e0e2a46945795ac59aa9ed.png" Type="http://schemas.openxmlformats.org/officeDocument/2006/relationships/image"/><Relationship Id="rId110" Target="media/f7e15f3041979c0f0800750646009153b0b2c194.png" Type="http://schemas.openxmlformats.org/officeDocument/2006/relationships/image"/><Relationship Id="rId111" Target="media/9b3de1dc42101d1c050b6ba4ad980c8ca68bf1d9.png" Type="http://schemas.openxmlformats.org/officeDocument/2006/relationships/image"/><Relationship Id="rIdHdr1" Target="header1.xml" Type="http://schemas.openxmlformats.org/officeDocument/2006/relationships/header"/><Relationship Id="rIdHdr2" Target="header2.xml" Type="http://schemas.openxmlformats.org/officeDocument/2006/relationships/header"/><Relationship Id="rIdHdr3" Target="header3.xml" Type="http://schemas.openxmlformats.org/officeDocument/2006/relationships/header"/><Relationship Id="rIdHdr4" Target="header4.xml" Type="http://schemas.openxmlformats.org/officeDocument/2006/relationships/header"/><Relationship Id="rIdHdr5" Target="header5.xml" Type="http://schemas.openxmlformats.org/officeDocument/2006/relationships/header"/><Relationship Id="rIdHdr6" Target="header6.xml" Type="http://schemas.openxmlformats.org/officeDocument/2006/relationships/header"/><Relationship Id="rIdHdr7" Target="header7.xml" Type="http://schemas.openxmlformats.org/officeDocument/2006/relationships/header"/><Relationship Id="rIdHdr8" Target="header8.xml" Type="http://schemas.openxmlformats.org/officeDocument/2006/relationships/header"/><Relationship Id="rIdHdr9" Target="header9.xml" Type="http://schemas.openxmlformats.org/officeDocument/2006/relationships/header"/><Relationship Id="rIdHdr10" Target="header10.xml" Type="http://schemas.openxmlformats.org/officeDocument/2006/relationships/header"/></Relationships>
</file>

<file path=docProps/core.xml><?xml version="1.0" encoding="utf-8"?>
<cp:coreProperties xmlns:cp="http://schemas.openxmlformats.org/package/2006/metadata/core-properties" xmlns:dc="http://purl.org/dc/elements/1.1/" xmlns:dcterms="http://purl.org/dc/terms/" xmlns:xsi="http://www.w3.org/2001/XMLSchema-instance">
  <dc:title>CMA Part 1 · Book 1 · Chapter 10</dc:title>
  <dc:subject>Summary handouts</dc:subject>
  <cp:category>Student Book</cp:category>
</cp:coreProperties>
</file>