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3–7</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r>
        <w:rPr>
          <w:sz w:val="19"/>
          <w:szCs w:val="19"/>
        </w:rPr>
        <w:t xml:space="preserve">Accounts payable and accruals arise from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dividends payable and the current portion of long-term debt arise from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measured   ·   Customer   ·   operations   ·   discounted   ·   creating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Customer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contract liabilities: they become revenue when Orontes delivers. </w:t>
      </w:r>
      <w:r>
        <w:rPr>
          <w:sz w:val="19"/>
          <w:szCs w:val="19"/>
        </w:rPr>
        <w:t xml:space="preserve">Cash dividends become a liability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distributable   ·   deposits   ·   discounted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80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802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Current portion of long-term debt   ·   warranty liability   ·   Dividends payable</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deposits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 Accounts payable and accruals arise from operations; dividends payable and the current portion of long-term debt arise from financing.</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employer's own payroll taxes, such as its share of social security, are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expense. </w:t>
      </w:r>
      <w:r>
        <w:rPr>
          <w:sz w:val="19"/>
          <w:szCs w:val="19"/>
        </w:rPr>
        <w:t xml:space="preserve">Suppose Barada's gross wages for a month are $40,000. </w:t>
      </w:r>
      <w:r>
        <w:rPr>
          <w:sz w:val="19"/>
          <w:szCs w:val="19"/>
        </w:rPr>
        <w:t xml:space="preserve">It withholds $4,000 of income tax and $2,800 of social security, so employees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sales tax payable, not as revenue.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absences, such as earned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accrued when employees have already worked for them, the rights vest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payment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receive   ·   payable   ·   probable   ·   additional   ·   amounts   ·   collected   ·   creates   ·   accumulate   ·   vacation   ·   recorded   ·   Compensated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p>
      <w:pPr>
        <w:spacing w:before="20" w:after="20" w:line="360" w:lineRule="auto"/>
        <w:ind w:left="200"/>
      </w:pPr>
      <w:r>
        <w:rPr>
          <w:sz w:val="19"/>
          <w:szCs w:val="19"/>
        </w:rPr>
        <w:t xml:space="preserve">The first four rows are done. Complete the four blanks.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wages for the month   ·   Employer's social security (payroll tax expense, 7%)   ·   Total owed to the tax authorities   ·   Net pay to employees   ·   Income tax withheld from employees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accumulate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Net pay to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Employer's social security (payroll tax expense, 7%)</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Compensated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short-term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normally current. </w:t>
      </w:r>
      <w:r>
        <w:rPr>
          <w:sz w:val="19"/>
          <w:szCs w:val="19"/>
        </w:rPr>
        <w:t xml:space="preserve">It may be shown as noncurrent only if the company intends to refinance it on a long-term basis and shows that it can. </w:t>
      </w:r>
      <w:r>
        <w:rPr>
          <w:sz w:val="19"/>
          <w:szCs w:val="19"/>
        </w:rPr>
        <w:t xml:space="preserve">A qualifying agreement does not expire within one year, cannot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except for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violation, has no violation, and the lender can pay. </w:t>
      </w:r>
      <w:r>
        <w:rPr>
          <w:sz w:val="19"/>
          <w:szCs w:val="19"/>
        </w:rPr>
        <w:t xml:space="preserve">An agreement that the lender may cancel for a 'material adverse change' does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because that clause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the new financing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stays current. </w:t>
      </w:r>
      <w:r>
        <w:rPr>
          <w:sz w:val="19"/>
          <w:szCs w:val="19"/>
        </w:rPr>
        <w:t xml:space="preserve">Refinanced debt moves to noncurrent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assets   ·   qualify   ·   subjective   ·   liabilities   ·   cancelled   ·   intends   ·   obtained   ·   objective   ·   obligation   ·   exceed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Suppose Orontes has commercial paper of $3,000,000 due March 31, 2027, and intends to refinance it. </w:t>
      </w:r>
      <w:r>
        <w:rPr>
          <w:sz w:val="19"/>
          <w:szCs w:val="19"/>
        </w:rPr>
        <w:t xml:space="preserve">Its 2026 statements are issued on March 1, 2027. </w:t>
      </w:r>
      <w:r>
        <w:rPr>
          <w:sz w:val="19"/>
          <w:szCs w:val="19"/>
        </w:rPr>
        <w:t xml:space="preserve">Scenario A. Bonds issued on February 10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paper: the whole $3,000,000 is noncurrent. </w:t>
      </w:r>
      <w:r>
        <w:rPr>
          <w:sz w:val="19"/>
          <w:szCs w:val="19"/>
        </w:rPr>
        <w:t xml:space="preserve">Scenario C. Shares issued for $2,400,000: that amount is noncurrent and $600,000 stays current.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qualifying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Nothing   ·   adverse   ·   replace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Repaid first, refinanced later: still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financing agreement   ·   اتفاقية تمويل مؤهلة   ·   short-term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replace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obtained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short-term 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qualifying financing agreement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classification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amendments   ·   management's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amendments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assurance-type warranty only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warranty expense and a warranty liability,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liability as repairs are made. </w:t>
      </w:r>
      <w:r>
        <w:rPr>
          <w:sz w:val="19"/>
          <w:szCs w:val="19"/>
        </w:rPr>
        <w:t xml:space="preserve">A service-type warranty gives the customer an extra service, such as extended cover. </w:t>
      </w:r>
      <w:r>
        <w:rPr>
          <w:sz w:val="19"/>
          <w:szCs w:val="19"/>
        </w:rPr>
        <w:t xml:space="preserve">It is a separate performance obligation: part of the price is recorded as a contract liability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 revenue over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period. </w:t>
      </w:r>
      <w:r>
        <w:rPr>
          <w:sz w:val="19"/>
          <w:szCs w:val="19"/>
        </w:rPr>
        <w:t xml:space="preserve">A warranty that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separately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service-type. </w:t>
      </w:r>
      <w:r>
        <w:rPr>
          <w:sz w:val="19"/>
          <w:szCs w:val="19"/>
        </w:rPr>
        <w:t xml:space="preserve">Suppose Orontes sells 2,000 beverage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2026 for $3,000,000, with a one-year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records   ·   assurance   ·   recognized   ·   always   ·   promises   ·   accrual   ·   dispensers   ·   estimates   ·   coverage   ·   reduces   ·   expects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194"/>
        <w:gridCol w:w="1091"/>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Orontes's warranty entries for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tcMar>
              <w:top w:type="dxa" w:w="50"/>
              <w:left w:type="dxa" w:w="110"/>
              <w:bottom w:type="dxa" w:w="50"/>
              <w:right w:type="dxa" w:w="110"/>
            </w:tcMar>
          </w:tcPr>
          <w:p>
            <w:pPr>
              <w:spacing w:before="28" w:after="28"/>
            </w:pPr>
            <w:r>
              <w:rPr>
                <w:sz w:val="15"/>
                <w:szCs w:val="15"/>
              </w:rPr>
              <w:t xml:space="preserve">Assurance-type: at each sale</w:t>
            </w:r>
          </w:p>
        </w:tc>
        <w:tc>
          <w:tcPr>
            <w:tcW w:type="pct" w:w="1664"/>
            <w:tcMar>
              <w:top w:type="dxa" w:w="50"/>
              <w:left w:type="dxa" w:w="110"/>
              <w:bottom w:type="dxa" w:w="50"/>
              <w:right w:type="dxa" w:w="110"/>
            </w:tcMar>
          </w:tcPr>
          <w:p>
            <w:pPr>
              <w:spacing w:before="28" w:after="28"/>
            </w:pPr>
            <w:r>
              <w:rPr>
                <w:sz w:val="15"/>
                <w:szCs w:val="15"/>
              </w:rPr>
              <w:t xml:space="preserve">Warranty expense</w:t>
            </w:r>
          </w:p>
        </w:tc>
        <w:tc>
          <w:tcPr>
            <w:tcW w:type="pct" w:w="568"/>
            <w:tcMar>
              <w:top w:type="dxa" w:w="50"/>
              <w:left w:type="dxa" w:w="110"/>
              <w:bottom w:type="dxa" w:w="50"/>
              <w:right w:type="dxa" w:w="110"/>
            </w:tcMar>
          </w:tcPr>
          <w:p>
            <w:pPr>
              <w:spacing w:before="28" w:after="28"/>
            </w:pPr>
            <w:r>
              <w:rPr>
                <w:sz w:val="15"/>
                <w:szCs w:val="15"/>
              </w:rPr>
              <w:t xml:space="preserve">60,000</w:t>
            </w:r>
          </w:p>
        </w:tc>
        <w:tc>
          <w:tcPr>
            <w:tcW w:type="pct" w:w="56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t>
            </w:r>
          </w:p>
        </w:tc>
        <w:tc>
          <w:tcPr>
            <w:tcW w:type="pct" w:w="1664"/>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200"/>
            <w:tcMar>
              <w:top w:type="dxa" w:w="50"/>
              <w:left w:type="dxa" w:w="110"/>
              <w:bottom w:type="dxa" w:w="50"/>
              <w:right w:type="dxa" w:w="110"/>
            </w:tcMar>
          </w:tcPr>
          <w:p>
            <w:pPr>
              <w:spacing w:before="28" w:after="28"/>
            </w:pPr>
            <w:r>
              <w:rPr>
                <w:sz w:val="15"/>
                <w:szCs w:val="15"/>
              </w:rPr>
              <w:t xml:space="preserve">Repairs made in 2026</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68"/>
            <w:tcMar>
              <w:top w:type="dxa" w:w="50"/>
              <w:left w:type="dxa" w:w="110"/>
              <w:bottom w:type="dxa" w:w="50"/>
              <w:right w:type="dxa" w:w="110"/>
            </w:tcMar>
          </w:tcPr>
          <w:p>
            <w:pPr>
              <w:spacing w:before="28" w:after="28"/>
            </w:pPr>
            <w:r>
              <w:rPr>
                <w:sz w:val="15"/>
                <w:szCs w:val="15"/>
              </w:rPr>
              <w:t xml:space="preserve">22,000</w:t>
            </w:r>
          </w:p>
        </w:tc>
        <w:tc>
          <w:tcPr>
            <w:tcW w:type="pct" w:w="56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t>
            </w:r>
          </w:p>
        </w:tc>
        <w:tc>
          <w:tcPr>
            <w:tcW w:type="pct" w:w="1664"/>
            <w:shd w:fill="FBFAF6" w:val="clear"/>
            <w:tcMar>
              <w:top w:type="dxa" w:w="50"/>
              <w:left w:type="dxa" w:w="110"/>
              <w:bottom w:type="dxa" w:w="50"/>
              <w:right w:type="dxa" w:w="110"/>
            </w:tcMar>
          </w:tcPr>
          <w:p>
            <w:pPr>
              <w:spacing w:before="28" w:after="28"/>
            </w:pPr>
            <w:r>
              <w:rPr>
                <w:sz w:val="15"/>
                <w:szCs w:val="15"/>
              </w:rPr>
              <w:t xml:space="preserve">Cash, parts inventory</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22,000</w:t>
            </w:r>
          </w:p>
        </w:tc>
      </w:tr>
      <w:tr>
        <w:tc>
          <w:tcPr>
            <w:tcW w:type="pct" w:w="2200"/>
            <w:tcMar>
              <w:top w:type="dxa" w:w="50"/>
              <w:left w:type="dxa" w:w="110"/>
              <w:bottom w:type="dxa" w:w="50"/>
              <w:right w:type="dxa" w:w="110"/>
            </w:tcMar>
          </w:tcPr>
          <w:p>
            <w:pPr>
              <w:spacing w:before="28" w:after="28"/>
            </w:pPr>
            <w:r>
              <w:rPr>
                <w:sz w:val="15"/>
                <w:szCs w:val="15"/>
              </w:rPr>
              <w:t xml:space="preserve">Service-type: plans sold in January</w:t>
            </w:r>
          </w:p>
        </w:tc>
        <w:tc>
          <w:tcPr>
            <w:tcW w:type="pct" w:w="1664"/>
            <w:tcMar>
              <w:top w:type="dxa" w:w="50"/>
              <w:left w:type="dxa" w:w="110"/>
              <w:bottom w:type="dxa" w:w="50"/>
              <w:right w:type="dxa" w:w="110"/>
            </w:tcMar>
          </w:tcPr>
          <w:p>
            <w:pPr>
              <w:spacing w:before="28" w:after="28"/>
            </w:pPr>
            <w:r>
              <w:rPr>
                <w:sz w:val="15"/>
                <w:szCs w:val="15"/>
              </w:rPr>
              <w:t xml:space="preserve">Cash</w:t>
            </w:r>
          </w:p>
        </w:tc>
        <w:tc>
          <w:tcPr>
            <w:tcW w:type="pct" w:w="568"/>
            <w:tcMar>
              <w:top w:type="dxa" w:w="50"/>
              <w:left w:type="dxa" w:w="110"/>
              <w:bottom w:type="dxa" w:w="50"/>
              <w:right w:type="dxa" w:w="110"/>
            </w:tcMar>
          </w:tcPr>
          <w:p>
            <w:pPr>
              <w:spacing w:before="28" w:after="28"/>
            </w:pPr>
            <w:r>
              <w:rPr>
                <w:sz w:val="15"/>
                <w:szCs w:val="15"/>
              </w:rPr>
              <w:t xml:space="preserve">48,000</w:t>
            </w:r>
          </w:p>
        </w:tc>
        <w:tc>
          <w:tcPr>
            <w:tcW w:type="pct" w:w="56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48,000</w:t>
            </w:r>
          </w:p>
        </w:tc>
      </w:tr>
      <w:tr>
        <w:tc>
          <w:tcPr>
            <w:tcW w:type="pct" w:w="2200"/>
            <w:tcMar>
              <w:top w:type="dxa" w:w="50"/>
              <w:left w:type="dxa" w:w="110"/>
              <w:bottom w:type="dxa" w:w="50"/>
              <w:right w:type="dxa" w:w="110"/>
            </w:tcMar>
          </w:tcPr>
          <w:p>
            <w:pPr>
              <w:spacing w:before="28" w:after="28"/>
            </w:pPr>
            <w:r>
              <w:rPr>
                <w:sz w:val="15"/>
                <w:szCs w:val="15"/>
              </w:rPr>
              <w:t xml:space="preserve">December 31, 2026</w:t>
            </w:r>
          </w:p>
        </w:tc>
        <w:tc>
          <w:tcPr>
            <w:tcW w:type="pct" w:w="1664"/>
            <w:tcMar>
              <w:top w:type="dxa" w:w="50"/>
              <w:left w:type="dxa" w:w="110"/>
              <w:bottom w:type="dxa" w:w="50"/>
              <w:right w:type="dxa" w:w="110"/>
            </w:tcMar>
          </w:tcPr>
          <w:p>
            <w:pPr>
              <w:spacing w:before="28" w:after="28"/>
            </w:pPr>
            <w:r>
              <w:rPr>
                <w:sz w:val="15"/>
                <w:szCs w:val="15"/>
              </w:rPr>
              <w:t xml:space="preserve">Contract liability</w:t>
            </w:r>
          </w:p>
        </w:tc>
        <w:tc>
          <w:tcPr>
            <w:tcW w:type="pct" w:w="568"/>
            <w:tcMar>
              <w:top w:type="dxa" w:w="50"/>
              <w:left w:type="dxa" w:w="110"/>
              <w:bottom w:type="dxa" w:w="50"/>
              <w:right w:type="dxa" w:w="110"/>
            </w:tcMar>
          </w:tcPr>
          <w:p>
            <w:pPr>
              <w:spacing w:before="28" w:after="28"/>
            </w:pPr>
            <w:r>
              <w:rPr>
                <w:sz w:val="15"/>
                <w:szCs w:val="15"/>
              </w:rPr>
              <w:t xml:space="preserve">16,000</w:t>
            </w:r>
          </w:p>
        </w:tc>
        <w:tc>
          <w:tcPr>
            <w:tcW w:type="pct" w:w="56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16,000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liability   ·   Service revenue   ·   Customer deposits   ·   Warranty liability</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The warranty liability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$60,000 minus repairs of $22,000: $38,000. </w:t>
      </w:r>
      <w:r>
        <w:rPr>
          <w:sz w:val="19"/>
          <w:szCs w:val="19"/>
        </w:rPr>
        <w:t xml:space="preserve">The service plans are a contract liability of $32,000, of which the part to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 2027 is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   earned   ·   accrual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Expense   ·   Suppose   ·   repairs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8" w:after="28"/>
            </w:pPr>
            <w:r>
              <w:rPr>
                <w:sz w:val="15"/>
                <w:szCs w:val="15"/>
              </w:rPr>
              <w:t xml:space="preserve">25 / 5 / 3</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separately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non-cancelable   ·   equipment   ·   Deferred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Employer's social security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 + 2,800 + 2,800 = 9,600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 × 40,000 = 2,800 (payroll tax expense)   ·   Bank loan due April 30, 2028   ·   21,000 ÷ 1.05 = 20,000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liability   ·   Current liability   ·   Split between current and noncurrent   ·   Employer's social security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liability   ·   assurance-type warranty   ·   service-type warranty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accrual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coverage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non-cancelable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7% × 40,000 = 2,800 (payroll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assurance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Warranty 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Contract liability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assurance-type warranty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Service revenue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warranty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The warranty liability is the accrual of $60,000 minus repairs of $22,000: $38,000. The service plans are a contract liability of $32,000, of which the part to be earned in 2027 is current.</w:t>
      </w:r>
    </w:p>
    <w:p>
      <w:pPr>
        <w:spacing w:before="20" w:after="20"/>
        <w:ind w:left="240" w:hanging="240"/>
      </w:pPr>
      <w:r>
        <w:rPr>
          <w:b/>
          <w:bCs/>
          <w:color w:val="353A7C"/>
          <w:sz w:val="15"/>
          <w:szCs w:val="15"/>
        </w:rPr>
        <w:t xml:space="preserve">Summary 3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874be114b7abe27b8ffab80b8d515e1efcbb34a.png" Type="http://schemas.openxmlformats.org/officeDocument/2006/relationships/image"/><Relationship Id="rId102" Target="media/c2390c81b8e2ed33605e23a3756a555766308ad5.png" Type="http://schemas.openxmlformats.org/officeDocument/2006/relationships/image"/><Relationship Id="rId103" Target="media/75edccbd1dabdd9f05f102278ee118cad7ee9faf.png" Type="http://schemas.openxmlformats.org/officeDocument/2006/relationships/image"/><Relationship Id="rId104" Target="media/4c3abcd3ab336731d91aaadf10ff7a928617f243.png" Type="http://schemas.openxmlformats.org/officeDocument/2006/relationships/image"/><Relationship Id="rId105" Target="media/51930758f94869240f9d0d913ff7193143ae45bd.png" Type="http://schemas.openxmlformats.org/officeDocument/2006/relationships/image"/><Relationship Id="rId106" Target="media/9a2b7cf7f7bc1299e90fb92ae6d4b0d92feef33e.png" Type="http://schemas.openxmlformats.org/officeDocument/2006/relationships/image"/><Relationship Id="rId107" Target="media/6b59b15d557096d8f3831b41d334bcf544ca92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