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when the rules timed items differently.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 allocation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this. </w:t>
      </w:r>
      <w:r>
        <w:rPr>
          <w:sz w:val="19"/>
          <w:szCs w:val="19"/>
        </w:rPr>
        <w:t xml:space="preserve">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tax effects of transactions in the same periods as the transactions themselves, using deferred taxes. </w:t>
      </w:r>
      <w:r>
        <w:rPr>
          <w:sz w:val="19"/>
          <w:szCs w:val="19"/>
        </w:rPr>
        <w:t xml:space="preserve">Income tax expense of $989,700 has two parts: current tax expense of $889,700, the tax on 2025 taxable income, and deferred tax expense of $100,000. </w:t>
      </w:r>
      <w:r>
        <w:rPr>
          <w:sz w:val="19"/>
          <w:szCs w:val="19"/>
        </w:rPr>
        <w:t xml:space="preserve">Net taxable temporary differences grew by $400,000, mainly because tax depreciation was faster than book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around   ·   recognizes   ·   returns   ·   reported   ·   usually   ·   statements   ·   effects   ·   investors   ·   solves   ·   Interperiod   ·   government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Income before income taxes</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tcMar>
              <w:top w:type="dxa" w:w="50"/>
              <w:left w:type="dxa" w:w="110"/>
              <w:bottom w:type="dxa" w:w="50"/>
              <w:right w:type="dxa" w:w="110"/>
            </w:tcMar>
          </w:tcPr>
          <w:p>
            <w:pPr>
              <w:spacing w:before="28" w:after="28"/>
            </w:pPr>
            <w:r>
              <w:rPr>
                <w:sz w:val="15"/>
                <w:szCs w:val="15"/>
              </w:rPr>
              <w:t xml:space="preserve">Current tax expense (taxes on 2025 taxable income)</w:t>
            </w:r>
          </w:p>
        </w:tc>
        <w:tc>
          <w:tcPr>
            <w:tcW w:type="pct" w:w="2400"/>
            <w:tcMar>
              <w:top w:type="dxa" w:w="50"/>
              <w:left w:type="dxa" w:w="110"/>
              <w:bottom w:type="dxa" w:w="50"/>
              <w:right w:type="dxa" w:w="110"/>
            </w:tcMar>
          </w:tcPr>
          <w:p>
            <w:pPr>
              <w:spacing w:before="28" w:after="28"/>
            </w:pPr>
            <w:r>
              <w:rPr>
                <w:sz w:val="15"/>
                <w:szCs w:val="15"/>
              </w:rPr>
              <w:t xml:space="preserve">889,700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400"/>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expense (25% combined federal and state rate)   ·   Current tax expense (taxes on 2025 taxable income)   ·   Income taxes paid in cash (Chapter 5)</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around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solves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expense (25% combined federal and state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 Income tax expense of $989,700 has two parts: current tax expense of $889,700, the tax on 2025 taxable income, and deferred tax expense of $100,000. Net taxable temporary differences grew by $400,000, mainly because tax depreciation was faster than book depreciation.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temporary difference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the tax basis of an asset or liability differs from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amount on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w:t>
      </w:r>
      <w:r>
        <w:rPr>
          <w:sz w:val="19"/>
          <w:szCs w:val="19"/>
        </w:rPr>
        <w:t xml:space="preserve">It reverses in later years. </w:t>
      </w:r>
      <w:r>
        <w:rPr>
          <w:sz w:val="19"/>
          <w:szCs w:val="19"/>
        </w:rPr>
        <w:t xml:space="preserve">A taxable temporary difference will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future taxable income; a deductible temporary difference will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Tax-exempt municipal bond interest and fines are common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Permanent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create no deferred tax; they only change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tax rate. </w:t>
      </w:r>
      <w:r>
        <w:rPr>
          <w:sz w:val="19"/>
          <w:szCs w:val="19"/>
        </w:rPr>
        <w:t xml:space="preserve">A taxable temporary difference creates a deferred tax liability: tax that will be paid later. </w:t>
      </w:r>
      <w:r>
        <w:rPr>
          <w:sz w:val="19"/>
          <w:szCs w:val="19"/>
        </w:rPr>
        <w:t xml:space="preserve">A deductible temporary difference creates a deferred tax asset: tax that will be saved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increase   ·   depreciation   ·   reverse   ·   carrying   ·   balance   ·   effective   ·   reduce   ·   differences   ·   arises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568"/>
        <w:gridCol w:w="280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337"/>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463"/>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337"/>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63"/>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337"/>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463"/>
            <w:shd w:fill="FBFAF6" w:val="clear"/>
            <w:tcMar>
              <w:top w:type="dxa" w:w="50"/>
              <w:left w:type="dxa" w:w="110"/>
              <w:bottom w:type="dxa" w:w="50"/>
              <w:right w:type="dxa" w:w="110"/>
            </w:tcMar>
          </w:tcPr>
          <w:p>
            <w:pPr>
              <w:spacing w:before="28" w:after="28"/>
            </w:pPr>
            <w:r>
              <w:rPr>
                <w:sz w:val="15"/>
                <w:szCs w:val="15"/>
              </w:rPr>
              <w:t xml:space="preserve">Deferred tax liability</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33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63"/>
            <w:tcMar>
              <w:top w:type="dxa" w:w="50"/>
              <w:left w:type="dxa" w:w="110"/>
              <w:bottom w:type="dxa" w:w="50"/>
              <w:right w:type="dxa" w:w="110"/>
            </w:tcMar>
          </w:tcPr>
          <w:p>
            <w:pPr>
              <w:spacing w:before="28" w:after="28"/>
            </w:pPr>
            <w:r>
              <w:rPr>
                <w:sz w:val="15"/>
                <w:szCs w:val="15"/>
              </w:rPr>
              <w:t xml:space="preserve">Deferred tax asset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337"/>
            <w:shd w:fill="FBFAF6" w:val="clear"/>
            <w:tcMar>
              <w:top w:type="dxa" w:w="50"/>
              <w:left w:type="dxa" w:w="110"/>
              <w:bottom w:type="dxa" w:w="50"/>
              <w:right w:type="dxa" w:w="110"/>
            </w:tcMar>
          </w:tcPr>
          <w:p>
            <w:pPr>
              <w:spacing w:before="28" w:after="28"/>
            </w:pPr>
            <w:r>
              <w:rPr>
                <w:sz w:val="15"/>
                <w:szCs w:val="15"/>
              </w:rPr>
              <w:t xml:space="preserve">Temporary, deductible</w:t>
            </w:r>
          </w:p>
        </w:tc>
        <w:tc>
          <w:tcPr>
            <w:tcW w:type="pct" w:w="1463"/>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337"/>
            <w:tcMar>
              <w:top w:type="dxa" w:w="50"/>
              <w:left w:type="dxa" w:w="110"/>
              <w:bottom w:type="dxa" w:w="50"/>
              <w:right w:type="dxa" w:w="110"/>
            </w:tcMar>
          </w:tcPr>
          <w:p>
            <w:pPr>
              <w:spacing w:before="28" w:after="28"/>
            </w:pPr>
            <w:r>
              <w:rPr>
                <w:sz w:val="15"/>
                <w:szCs w:val="15"/>
              </w:rPr>
              <w:t xml:space="preserve">Permanent</w:t>
            </w:r>
          </w:p>
        </w:tc>
        <w:tc>
          <w:tcPr>
            <w:tcW w:type="pct" w:w="1463"/>
            <w:tcMar>
              <w:top w:type="dxa" w:w="50"/>
              <w:left w:type="dxa" w:w="110"/>
              <w:bottom w:type="dxa" w:w="50"/>
              <w:right w:type="dxa" w:w="110"/>
            </w:tcMar>
          </w:tcPr>
          <w:p>
            <w:pPr>
              <w:spacing w:before="28" w:after="28"/>
            </w:pPr>
            <w:r>
              <w:rPr>
                <w:sz w:val="15"/>
                <w:szCs w:val="15"/>
              </w:rPr>
              <w:t xml:space="preserve">None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337"/>
            <w:shd w:fill="FBFAF6" w:val="clear"/>
            <w:tcMar>
              <w:top w:type="dxa" w:w="50"/>
              <w:left w:type="dxa" w:w="110"/>
              <w:bottom w:type="dxa" w:w="50"/>
              <w:right w:type="dxa" w:w="110"/>
            </w:tcMar>
          </w:tcPr>
          <w:p>
            <w:pPr>
              <w:spacing w:before="28" w:after="28"/>
            </w:pPr>
            <w:r>
              <w:rPr>
                <w:sz w:val="15"/>
                <w:szCs w:val="15"/>
              </w:rPr>
              <w:t xml:space="preserve">Permanent</w:t>
            </w:r>
          </w:p>
        </w:tc>
        <w:tc>
          <w:tcPr>
            <w:tcW w:type="pct" w:w="1463"/>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337"/>
            <w:tcMar>
              <w:top w:type="dxa" w:w="50"/>
              <w:left w:type="dxa" w:w="110"/>
              <w:bottom w:type="dxa" w:w="50"/>
              <w:right w:type="dxa" w:w="110"/>
            </w:tcMar>
          </w:tcPr>
          <w:p>
            <w:pPr>
              <w:spacing w:before="28" w:after="28"/>
            </w:pPr>
            <w:r>
              <w:rPr>
                <w:sz w:val="15"/>
                <w:szCs w:val="15"/>
              </w:rPr>
              <w:t xml:space="preserve">Permanent</w:t>
            </w:r>
          </w:p>
        </w:tc>
        <w:tc>
          <w:tcPr>
            <w:tcW w:type="pct" w:w="1463"/>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Permanent   ·   None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Tax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faster than book: less tax now, more later: deferred 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Warranty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now, deductible when paid: more tax now, less later: deferred tax asset. </w:t>
      </w:r>
      <w:r>
        <w:rPr>
          <w:sz w:val="19"/>
          <w:szCs w:val="19"/>
        </w:rPr>
        <w:t xml:space="preserve">Fines and municipal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   depreciation   ·   liability   ·   accrued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arises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accrued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tax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effective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 A taxable temporary difference creates a deferred tax liability: tax that will be paid later. A deductible temporary difference creates a deferred tax asset: tax that will be saved later.</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Current tax is taxable income times the tax rate. </w:t>
      </w:r>
      <w:r>
        <w:rPr>
          <w:sz w:val="19"/>
          <w:szCs w:val="19"/>
        </w:rPr>
        <w:t xml:space="preserve">Deferred tax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assets are the temporary differences times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tax rate that will apply when they reverse. </w:t>
      </w:r>
      <w:r>
        <w:rPr>
          <w:sz w:val="19"/>
          <w:szCs w:val="19"/>
        </w:rPr>
        <w:t xml:space="preserve">Deferred tax expense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the net deferred tax liability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enacted   ·   change   ·   approach   ·   municipal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5–9</w:t>
      </w:r>
    </w:p>
    <w:p>
      <w:pPr>
        <w:spacing w:before="20" w:after="20" w:line="360" w:lineRule="auto"/>
        <w:ind w:left="200"/>
      </w:pPr>
      <w:r>
        <w:rPr>
          <w:sz w:val="19"/>
          <w:szCs w:val="19"/>
        </w:rPr>
        <w:t xml:space="preserve">Suppose Orontes earns $2,000,000 before tax in 2026. </w:t>
      </w:r>
      <w:r>
        <w:rPr>
          <w:sz w:val="19"/>
          <w:szCs w:val="19"/>
        </w:rPr>
        <w:t xml:space="preserve">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permanent differences: municipal interest of $20,000 and a fine of $10,000. </w:t>
      </w:r>
      <w:r>
        <w:rPr>
          <w:sz w:val="19"/>
          <w:szCs w:val="19"/>
        </w:rPr>
        <w:t xml:space="preserve">New equipment costs $900,000. </w:t>
      </w:r>
      <w:r>
        <w:rPr>
          <w:sz w:val="19"/>
          <w:szCs w:val="19"/>
        </w:rPr>
        <w:t xml:space="preserve">Tax law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taxable income now: a taxable temporary difference.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deductible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expense   ·   allows   ·   dispenser   ·   removes   ·   increases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Orontes's 2026 taxable income and current tax</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Income before income taxes (book)</w:t>
            </w:r>
          </w:p>
        </w:tc>
        <w:tc>
          <w:tcPr>
            <w:tcW w:type="pct" w:w="2400"/>
            <w:tcMar>
              <w:top w:type="dxa" w:w="50"/>
              <w:left w:type="dxa" w:w="110"/>
              <w:bottom w:type="dxa" w:w="50"/>
              <w:right w:type="dxa" w:w="110"/>
            </w:tcMar>
          </w:tcPr>
          <w:p>
            <w:pPr>
              <w:spacing w:before="28" w:after="28"/>
            </w:pPr>
            <w:r>
              <w:rPr>
                <w:sz w:val="15"/>
                <w:szCs w:val="15"/>
              </w:rPr>
              <w:t xml:space="preserve">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Less: tax depreciation 900,000 above book depreciation 300,000 (temporary)</w:t>
            </w:r>
          </w:p>
        </w:tc>
        <w:tc>
          <w:tcPr>
            <w:tcW w:type="pct" w:w="2400"/>
            <w:shd w:fill="FBFAF6" w:val="clear"/>
            <w:tcMar>
              <w:top w:type="dxa" w:w="50"/>
              <w:left w:type="dxa" w:w="110"/>
              <w:bottom w:type="dxa" w:w="50"/>
              <w:right w:type="dxa" w:w="110"/>
            </w:tcMar>
          </w:tcPr>
          <w:p>
            <w:pPr>
              <w:spacing w:before="28" w:after="28"/>
            </w:pPr>
            <w:r>
              <w:rPr>
                <w:sz w:val="15"/>
                <w:szCs w:val="15"/>
              </w:rPr>
              <w:t xml:space="preserve">(600,000)</w:t>
            </w:r>
          </w:p>
        </w:tc>
      </w:tr>
      <w:tr>
        <w:tc>
          <w:tcPr>
            <w:tcW w:type="pct" w:w="2600"/>
            <w:tcMar>
              <w:top w:type="dxa" w:w="50"/>
              <w:left w:type="dxa" w:w="110"/>
              <w:bottom w:type="dxa" w:w="50"/>
              <w:right w:type="dxa" w:w="110"/>
            </w:tcMar>
          </w:tcPr>
          <w:p>
            <w:pPr>
              <w:spacing w:before="28" w:after="28"/>
            </w:pPr>
            <w:r>
              <w:rPr>
                <w:sz w:val="15"/>
                <w:szCs w:val="15"/>
              </w:rPr>
              <w:t xml:space="preserve">Add: warranty expense 60,000 not yet deductible; repairs paid 22,000 (temporary)</w:t>
            </w:r>
          </w:p>
        </w:tc>
        <w:tc>
          <w:tcPr>
            <w:tcW w:type="pct" w:w="2400"/>
            <w:tcMar>
              <w:top w:type="dxa" w:w="50"/>
              <w:left w:type="dxa" w:w="110"/>
              <w:bottom w:type="dxa" w:w="50"/>
              <w:right w:type="dxa" w:w="110"/>
            </w:tcMar>
          </w:tcPr>
          <w:p>
            <w:pPr>
              <w:spacing w:before="28" w:after="28"/>
            </w:pPr>
            <w:r>
              <w:rPr>
                <w:sz w:val="15"/>
                <w:szCs w:val="15"/>
              </w:rPr>
              <w:t xml:space="preserve">38,000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Taxable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1,428,000</w:t>
            </w:r>
          </w:p>
        </w:tc>
      </w:tr>
      <w:tr>
        <w:tc>
          <w:tcPr>
            <w:tcW w:type="pct" w:w="2600"/>
            <w:tcMar>
              <w:top w:type="dxa" w:w="50"/>
              <w:left w:type="dxa" w:w="110"/>
              <w:bottom w:type="dxa" w:w="50"/>
              <w:right w:type="dxa" w:w="110"/>
            </w:tcMar>
          </w:tcPr>
          <w:p>
            <w:pPr>
              <w:spacing w:before="28" w:after="28"/>
            </w:pPr>
            <w:r>
              <w:rPr>
                <w:sz w:val="15"/>
                <w:szCs w:val="15"/>
              </w:rPr>
              <w:t xml:space="preserve">Current tax expense at 25%</w:t>
            </w:r>
          </w:p>
        </w:tc>
        <w:tc>
          <w:tcPr>
            <w:tcW w:type="pct" w:w="2400"/>
            <w:tcMar>
              <w:top w:type="dxa" w:w="50"/>
              <w:left w:type="dxa" w:w="110"/>
              <w:bottom w:type="dxa" w:w="50"/>
              <w:right w:type="dxa" w:w="110"/>
            </w:tcMar>
          </w:tcPr>
          <w:p>
            <w:pPr>
              <w:spacing w:before="28" w:after="28"/>
            </w:pPr>
            <w:r>
              <w:rPr>
                <w:sz w:val="15"/>
                <w:szCs w:val="15"/>
              </w:rPr>
              <w:t xml:space="preserve">357,000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 fine, not deductible (permanent)   ·   Less: tax-exempt municipal interest (permanent)   ·   Current tax expense at 25%</w:t>
            </w:r>
          </w:p>
        </w:tc>
      </w:tr>
    </w:tbl>
    <w:p/>
    <w:p>
      <w:pPr>
        <w:spacing w:before="44" w:after="14"/>
      </w:pPr>
      <w:r>
        <w:rPr>
          <w:b/>
          <w:bCs/>
          <w:color w:val="353A7C"/>
          <w:sz w:val="18"/>
          <w:szCs w:val="18"/>
        </w:rPr>
        <w:t xml:space="preserve">Summary 3</w:t>
      </w:r>
      <w:r>
        <w:rPr>
          <w:color w:val="6B7280"/>
          <w:sz w:val="16"/>
          <w:szCs w:val="16"/>
        </w:rPr>
        <w:t xml:space="preserve">      gaps 12–15</w:t>
      </w:r>
    </w:p>
    <w:p>
      <w:pPr>
        <w:spacing w:before="20" w:after="20" w:line="360" w:lineRule="auto"/>
        <w:ind w:left="200"/>
      </w:pPr>
      <w:r>
        <w:rPr>
          <w:sz w:val="19"/>
          <w:szCs w:val="19"/>
        </w:rPr>
        <w:t xml:space="preserve">Deferred taxes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equipment creates a deferred tax liability of $150,000, and the warranty a deferred tax asset of $9,500. </w:t>
      </w:r>
      <w:r>
        <w:rPr>
          <w:sz w:val="19"/>
          <w:szCs w:val="19"/>
        </w:rPr>
        <w:t xml:space="preserve">Deferred tax expense is $140,500, so total income tax expense is $497,500. </w:t>
      </w:r>
      <w:r>
        <w:rPr>
          <w:sz w:val="19"/>
          <w:szCs w:val="19"/>
        </w:rPr>
        <w:t xml:space="preserve">The effective tax rate is total tax expense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pretax income: 24.875%. </w:t>
      </w:r>
      <w:r>
        <w:rPr>
          <w:sz w:val="19"/>
          <w:szCs w:val="19"/>
        </w:rPr>
        <w:t xml:space="preserve">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from the statutory 25% 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differs   ·   Current   ·   because   ·   divided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00"/>
            <w:tcMar>
              <w:top w:type="dxa" w:w="50"/>
              <w:left w:type="dxa" w:w="110"/>
              <w:bottom w:type="dxa" w:w="50"/>
              <w:right w:type="dxa" w:w="110"/>
            </w:tcMar>
          </w:tcPr>
          <w:p>
            <w:pPr>
              <w:spacing w:before="28" w:after="28"/>
            </w:pPr>
            <w:r>
              <w:rPr>
                <w:sz w:val="15"/>
                <w:szCs w:val="15"/>
              </w:rPr>
              <w:t xml:space="preserve">Current tax expense</w:t>
            </w:r>
          </w:p>
        </w:tc>
        <w:tc>
          <w:tcPr>
            <w:tcW w:type="pct" w:w="1400"/>
            <w:tcMar>
              <w:top w:type="dxa" w:w="50"/>
              <w:left w:type="dxa" w:w="110"/>
              <w:bottom w:type="dxa" w:w="50"/>
              <w:right w:type="dxa" w:w="110"/>
            </w:tcMar>
          </w:tcPr>
          <w:p>
            <w:pPr>
              <w:spacing w:before="28" w:after="28"/>
            </w:pPr>
            <w:r>
              <w:rPr>
                <w:sz w:val="15"/>
                <w:szCs w:val="15"/>
              </w:rPr>
              <w:t xml:space="preserve">357,000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liability created: 25% × 600,000</w:t>
            </w:r>
          </w:p>
        </w:tc>
        <w:tc>
          <w:tcPr>
            <w:tcW w:type="pct" w:w="1400"/>
            <w:shd w:fill="FBFAF6" w:val="clear"/>
            <w:tcMar>
              <w:top w:type="dxa" w:w="50"/>
              <w:left w:type="dxa" w:w="110"/>
              <w:bottom w:type="dxa" w:w="50"/>
              <w:right w:type="dxa" w:w="110"/>
            </w:tcMar>
          </w:tcPr>
          <w:p>
            <w:pPr>
              <w:spacing w:before="28" w:after="28"/>
            </w:pPr>
            <w:r>
              <w:rPr>
                <w:sz w:val="15"/>
                <w:szCs w:val="15"/>
              </w:rPr>
              <w:t xml:space="preserve">150,000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25% × 38,000</w:t>
            </w:r>
          </w:p>
        </w:tc>
        <w:tc>
          <w:tcPr>
            <w:tcW w:type="pct" w:w="1400"/>
            <w:tcMar>
              <w:top w:type="dxa" w:w="50"/>
              <w:left w:type="dxa" w:w="110"/>
              <w:bottom w:type="dxa" w:w="50"/>
              <w:right w:type="dxa" w:w="110"/>
            </w:tcMar>
          </w:tcPr>
          <w:p>
            <w:pPr>
              <w:spacing w:before="28" w:after="28"/>
            </w:pPr>
            <w:r>
              <w:rPr>
                <w:sz w:val="15"/>
                <w:szCs w:val="15"/>
              </w:rPr>
              <w:t xml:space="preserve">(9,500)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expense</w:t>
            </w:r>
          </w:p>
        </w:tc>
        <w:tc>
          <w:tcPr>
            <w:tcW w:type="pct" w:w="1400"/>
            <w:shd w:fill="FBFAF6" w:val="clear"/>
            <w:tcMar>
              <w:top w:type="dxa" w:w="50"/>
              <w:left w:type="dxa" w:w="110"/>
              <w:bottom w:type="dxa" w:w="50"/>
              <w:right w:type="dxa" w:w="110"/>
            </w:tcMar>
          </w:tcPr>
          <w:p>
            <w:pPr>
              <w:spacing w:before="28" w:after="28"/>
            </w:pPr>
            <w:r>
              <w:rPr>
                <w:sz w:val="15"/>
                <w:szCs w:val="15"/>
              </w:rPr>
              <w:t xml:space="preserve">140,500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 income tax expense</w:t>
            </w:r>
          </w:p>
        </w:tc>
        <w:tc>
          <w:tcPr>
            <w:tcW w:type="pct" w:w="1400"/>
            <w:tcMar>
              <w:top w:type="dxa" w:w="50"/>
              <w:left w:type="dxa" w:w="110"/>
              <w:bottom w:type="dxa" w:w="50"/>
              <w:right w:type="dxa" w:w="110"/>
            </w:tcMar>
          </w:tcPr>
          <w:p>
            <w:pPr>
              <w:spacing w:before="28" w:after="28"/>
            </w:pPr>
            <w:r>
              <w:rPr>
                <w:sz w:val="15"/>
                <w:szCs w:val="15"/>
              </w:rPr>
              <w:t xml:space="preserve">497,500</w:t>
            </w:r>
          </w:p>
        </w:tc>
        <w:tc>
          <w:tcPr>
            <w:tcW w:type="pct" w:w="1400"/>
            <w:tcMar>
              <w:top w:type="dxa" w:w="50"/>
              <w:left w:type="dxa" w:w="110"/>
              <w:bottom w:type="dxa" w:w="50"/>
              <w:right w:type="dxa" w:w="110"/>
            </w:tcMar>
          </w:tcPr>
          <w:p>
            <w:pPr>
              <w:spacing w:before="28" w:after="28"/>
            </w:pPr>
            <w:r>
              <w:rPr>
                <w:sz w:val="15"/>
                <w:szCs w:val="15"/>
              </w:rPr>
              <w:t xml:space="preserve">24.875%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25% × 2,000,000</w:t>
            </w:r>
          </w:p>
        </w:tc>
        <w:tc>
          <w:tcPr>
            <w:tcW w:type="pct" w:w="1400"/>
            <w:tcMar>
              <w:top w:type="dxa" w:w="50"/>
              <w:left w:type="dxa" w:w="110"/>
              <w:bottom w:type="dxa" w:w="50"/>
              <w:right w:type="dxa" w:w="110"/>
            </w:tcMar>
          </w:tcPr>
          <w:p>
            <w:pPr>
              <w:spacing w:before="28" w:after="28"/>
            </w:pPr>
            <w:r>
              <w:rPr>
                <w:sz w:val="15"/>
                <w:szCs w:val="15"/>
              </w:rPr>
              <w:t xml:space="preserve">500,000</w:t>
            </w:r>
          </w:p>
        </w:tc>
        <w:tc>
          <w:tcPr>
            <w:tcW w:type="pct" w:w="1400"/>
            <w:tcMar>
              <w:top w:type="dxa" w:w="50"/>
              <w:left w:type="dxa" w:w="110"/>
              <w:bottom w:type="dxa" w:w="50"/>
              <w:right w:type="dxa" w:w="110"/>
            </w:tcMar>
          </w:tcPr>
          <w:p>
            <w:pPr>
              <w:spacing w:before="28" w:after="28"/>
            </w:pPr>
            <w:r>
              <w:rPr>
                <w:sz w:val="15"/>
                <w:szCs w:val="15"/>
              </w:rPr>
              <w:t xml:space="preserve">25.000%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400"/>
            <w:shd w:fill="FBFAF6" w:val="clear"/>
            <w:tcMar>
              <w:top w:type="dxa" w:w="50"/>
              <w:left w:type="dxa" w:w="110"/>
              <w:bottom w:type="dxa" w:w="50"/>
              <w:right w:type="dxa" w:w="110"/>
            </w:tcMar>
          </w:tcPr>
          <w:p>
            <w:pPr>
              <w:spacing w:before="28" w:after="28"/>
            </w:pPr>
            <w:r>
              <w:rPr>
                <w:sz w:val="15"/>
                <w:szCs w:val="15"/>
              </w:rPr>
              <w:t xml:space="preserve">(5,000)</w:t>
            </w:r>
          </w:p>
        </w:tc>
        <w:tc>
          <w:tcPr>
            <w:tcW w:type="pct" w:w="1400"/>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00"/>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400"/>
            <w:tcMar>
              <w:top w:type="dxa" w:w="50"/>
              <w:left w:type="dxa" w:w="110"/>
              <w:bottom w:type="dxa" w:w="50"/>
              <w:right w:type="dxa" w:w="110"/>
            </w:tcMar>
          </w:tcPr>
          <w:p>
            <w:pPr>
              <w:spacing w:before="28" w:after="28"/>
            </w:pPr>
            <w:r>
              <w:rPr>
                <w:sz w:val="15"/>
                <w:szCs w:val="15"/>
              </w:rPr>
              <w:t xml:space="preserve">2,500</w:t>
            </w:r>
          </w:p>
        </w:tc>
        <w:tc>
          <w:tcPr>
            <w:tcW w:type="pct" w:w="1400"/>
            <w:tcMar>
              <w:top w:type="dxa" w:w="50"/>
              <w:left w:type="dxa" w:w="110"/>
              <w:bottom w:type="dxa" w:w="50"/>
              <w:right w:type="dxa" w:w="110"/>
            </w:tcMar>
          </w:tcPr>
          <w:p>
            <w:pPr>
              <w:spacing w:before="28" w:after="28"/>
            </w:pPr>
            <w:r>
              <w:rPr>
                <w:sz w:val="15"/>
                <w:szCs w:val="15"/>
              </w:rPr>
              <w:t xml:space="preserve">0.125%</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497,500</w:t>
            </w:r>
          </w:p>
        </w:tc>
        <w:tc>
          <w:tcPr>
            <w:tcW w:type="pct" w:w="1400"/>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at the statutory rate   ·   Income tax expense and effective tax rate   ·   Deferred tax asset created   ·   Fine for breaking an environmental law</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p>
      <w:pPr>
        <w:spacing w:before="20" w:after="20" w:line="360" w:lineRule="auto"/>
        <w:ind w:left="200"/>
      </w:pPr>
      <w:r>
        <w:rPr>
          <w:sz w:val="19"/>
          <w:szCs w:val="19"/>
        </w:rPr>
        <w:t xml:space="preserve">The first two are done. Classify the other four and say what each creates.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00"/>
            <w:tcMar>
              <w:top w:type="dxa" w:w="50"/>
              <w:left w:type="dxa" w:w="110"/>
              <w:bottom w:type="dxa" w:w="50"/>
              <w:right w:type="dxa" w:w="110"/>
            </w:tcMar>
          </w:tcPr>
          <w:p>
            <w:pPr>
              <w:spacing w:before="28" w:after="28"/>
            </w:pPr>
            <w:r>
              <w:rPr>
                <w:sz w:val="15"/>
                <w:szCs w:val="15"/>
              </w:rPr>
              <w:t xml:space="preserve">Permanent</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00"/>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Temporary, taxable   ·   Amount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enacted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Tax at the statutory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Income tax expense and effective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 tax-exempt municipal interest (permanent)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Add: fine, not deductible (permanent)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effective tax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continuing operations in the period that includes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date, even if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law enacted in 2027 cuts the rate to 21% from 2028. </w:t>
      </w:r>
      <w:r>
        <w:rPr>
          <w:sz w:val="19"/>
          <w:szCs w:val="19"/>
        </w:rPr>
        <w:t xml:space="preserve">At the end of 2027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falls from $75,000 to $63,000. </w:t>
      </w:r>
      <w:r>
        <w:rPr>
          <w:sz w:val="19"/>
          <w:szCs w:val="19"/>
        </w:rPr>
        <w:t xml:space="preserve">The $12,000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benefit in 2027. </w:t>
      </w:r>
      <w:r>
        <w:rPr>
          <w:sz w:val="19"/>
          <w:szCs w:val="19"/>
        </w:rPr>
        <w:t xml:space="preserve">A deferred tax asset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only if the company will have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taxable income to use it. </w:t>
      </w:r>
      <w:r>
        <w:rPr>
          <w:sz w:val="19"/>
          <w:szCs w:val="19"/>
        </w:rPr>
        <w:t xml:space="preserve">If it is more likely than not that some of the asset will not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company records a valuation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useful   ·   deduction   ·   announced   ·   remeasures   ·   recorded   ·   realized   ·   enough   ·   changes   ·   liability   ·   enactment   ·   Suppose   ·   original   ·   decrease</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A tax loss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current U.S.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law, most losses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 carried back. </w:t>
      </w:r>
      <w:r>
        <w:rPr>
          <w:sz w:val="19"/>
          <w:szCs w:val="19"/>
        </w:rPr>
        <w:t xml:space="preserve">They can be carried forward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 time limit, but they can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only 80% of taxable income in any year. </w:t>
      </w:r>
      <w:r>
        <w:rPr>
          <w:sz w:val="19"/>
          <w:szCs w:val="19"/>
        </w:rPr>
        <w:t xml:space="preserve">All deferred tax assets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discontinued operations carry their own tax. </w:t>
      </w:r>
      <w:r>
        <w:rPr>
          <w:sz w:val="19"/>
          <w:szCs w:val="19"/>
        </w:rPr>
        <w:t xml:space="preserve">This is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creates   ·   jurisdiction   ·   without   ·   federal   ·   current   ·   liabilities   ·   carryforward   ·   cannot   ·   reduce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Use enacted rates only;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effect of a rate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in continuing operations when the law is enacted. </w:t>
      </w:r>
      <w:r>
        <w:rPr>
          <w:sz w:val="19"/>
          <w:szCs w:val="19"/>
        </w:rPr>
        <w:t xml:space="preserve">Record the full DTA, then a valuation allowance: do not record only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part. </w:t>
      </w:r>
      <w:r>
        <w:rPr>
          <w:sz w:val="19"/>
          <w:szCs w:val="19"/>
        </w:rPr>
        <w:t xml:space="preserve">An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tax position 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recognized   ·   minimum   ·   ignored   ·   change   ·   uncertain   ·   current   ·   probable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decrease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federal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Suppose a law enacted in 2027 cuts the rate to 21% from 2028. At the end of 2027 the liability falls from $75,000 to $63,000. The $12,000 decrease is a benefit in 2027. A deferred tax asset is useful only if the company will have enough taxable income to use it. If it is more likely than not that some of the asset will not be realized, the company records a valuation allowance.</w:t>
      </w:r>
    </w:p>
    <w:p>
      <w:pPr>
        <w:spacing w:before="20" w:after="20"/>
        <w:ind w:left="240" w:hanging="240"/>
      </w:pPr>
      <w:r>
        <w:rPr>
          <w:b/>
          <w:bCs/>
          <w:color w:val="353A7C"/>
          <w:sz w:val="15"/>
          <w:szCs w:val="15"/>
        </w:rPr>
        <w:t xml:space="preserve">Summary 2   </w:t>
      </w:r>
      <w:r>
        <w:rPr>
          <w:color w:val="6B7280"/>
          <w:sz w:val="15"/>
          <w:szCs w:val="15"/>
        </w:rPr>
        <w:t xml:space="preserve">A tax loss creates a net operating loss carryforward, which is a deferred tax asset. Under current U.S. federal law, most losses cannot be carried back. They can be carried forward without a time limit, but they can reduce only 80% of taxable income in any year. 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for the exam is the deferred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valuation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version   ·   biggest   ·   recognizes   ·   separate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42"/>
        <w:gridCol w:w="4224"/>
        <w:gridCol w:w="32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116"/>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684"/>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116"/>
            <w:tcMar>
              <w:top w:type="dxa" w:w="50"/>
              <w:left w:type="dxa" w:w="110"/>
              <w:bottom w:type="dxa" w:w="50"/>
              <w:right w:type="dxa" w:w="110"/>
            </w:tcMar>
          </w:tcPr>
          <w:p>
            <w:pPr>
              <w:spacing w:before="28" w:after="28"/>
            </w:pPr>
            <w:r>
              <w:rPr>
                <w:sz w:val="15"/>
                <w:szCs w:val="15"/>
              </w:rPr>
              <w:t xml:space="preserve">Recognizing deferred tax assets</w:t>
            </w:r>
          </w:p>
        </w:tc>
        <w:tc>
          <w:tcPr>
            <w:tcW w:type="pct" w:w="2200"/>
            <w:tcMar>
              <w:top w:type="dxa" w:w="50"/>
              <w:left w:type="dxa" w:w="110"/>
              <w:bottom w:type="dxa" w:w="50"/>
              <w:right w:type="dxa" w:w="110"/>
            </w:tcMar>
          </w:tcPr>
          <w:p>
            <w:pPr>
              <w:spacing w:before="28" w:after="28"/>
            </w:pPr>
            <w:r>
              <w:rPr>
                <w:sz w:val="15"/>
                <w:szCs w:val="15"/>
              </w:rPr>
              <w:t xml:space="preserve">Record the full DTA, then a valuation allowance if realization is not more likely than not</w:t>
            </w:r>
          </w:p>
        </w:tc>
        <w:tc>
          <w:tcPr>
            <w:tcW w:type="pct" w:w="1684"/>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only the amount for which taxable profit is probable</w:t>
            </w:r>
          </w:p>
        </w:tc>
      </w:tr>
      <w:tr>
        <w:tc>
          <w:tcPr>
            <w:tcW w:type="pct" w:w="1116"/>
            <w:shd w:fill="FBFAF6" w:val="clear"/>
            <w:tcMar>
              <w:top w:type="dxa" w:w="50"/>
              <w:left w:type="dxa" w:w="110"/>
              <w:bottom w:type="dxa" w:w="50"/>
              <w:right w:type="dxa" w:w="110"/>
            </w:tcMar>
          </w:tcPr>
          <w:p>
            <w:pPr>
              <w:spacing w:before="28" w:after="28"/>
            </w:pPr>
            <w:r>
              <w:rPr>
                <w:sz w:val="15"/>
                <w:szCs w:val="15"/>
              </w:rPr>
              <w:t xml:space="preserve">Tax rate</w:t>
            </w:r>
          </w:p>
        </w:tc>
        <w:tc>
          <w:tcPr>
            <w:tcW w:type="pct" w:w="22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68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116"/>
            <w:tcMar>
              <w:top w:type="dxa" w:w="50"/>
              <w:left w:type="dxa" w:w="110"/>
              <w:bottom w:type="dxa" w:w="50"/>
              <w:right w:type="dxa" w:w="110"/>
            </w:tcMar>
          </w:tcPr>
          <w:p>
            <w:pPr>
              <w:spacing w:before="28" w:after="28"/>
            </w:pPr>
            <w:r>
              <w:rPr>
                <w:sz w:val="15"/>
                <w:szCs w:val="15"/>
              </w:rPr>
              <w:t xml:space="preserve">Initial recognition exemption</w:t>
            </w:r>
          </w:p>
        </w:tc>
        <w:tc>
          <w:tcPr>
            <w:tcW w:type="pct" w:w="2200"/>
            <w:tcMar>
              <w:top w:type="dxa" w:w="50"/>
              <w:left w:type="dxa" w:w="110"/>
              <w:bottom w:type="dxa" w:w="50"/>
              <w:right w:type="dxa" w:w="110"/>
            </w:tcMar>
          </w:tcPr>
          <w:p>
            <w:pPr>
              <w:spacing w:before="28" w:after="28"/>
            </w:pPr>
            <w:r>
              <w:rPr>
                <w:sz w:val="15"/>
                <w:szCs w:val="15"/>
              </w:rPr>
              <w:t xml:space="preserve">None in general</w:t>
            </w:r>
          </w:p>
        </w:tc>
        <w:tc>
          <w:tcPr>
            <w:tcW w:type="pct" w:w="168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116"/>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2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684"/>
            <w:shd w:fill="FBFAF6" w:val="clear"/>
            <w:tcMar>
              <w:top w:type="dxa" w:w="50"/>
              <w:left w:type="dxa" w:w="110"/>
              <w:bottom w:type="dxa" w:w="50"/>
              <w:right w:type="dxa" w:w="110"/>
            </w:tcMar>
          </w:tcPr>
          <w:p>
            <w:pPr>
              <w:spacing w:before="28" w:after="28"/>
            </w:pPr>
            <w:r>
              <w:rPr>
                <w:sz w:val="15"/>
                <w:szCs w:val="15"/>
              </w:rPr>
              <w:t xml:space="preserve">IFRIC 23: most likely amount or expected value</w:t>
            </w:r>
          </w:p>
        </w:tc>
      </w:tr>
      <w:tr>
        <w:tc>
          <w:tcPr>
            <w:tcW w:type="pct" w:w="1116"/>
            <w:tcMar>
              <w:top w:type="dxa" w:w="50"/>
              <w:left w:type="dxa" w:w="110"/>
              <w:bottom w:type="dxa" w:w="50"/>
              <w:right w:type="dxa" w:w="110"/>
            </w:tcMar>
          </w:tcPr>
          <w:p>
            <w:pPr>
              <w:spacing w:before="28" w:after="28"/>
            </w:pPr>
            <w:r>
              <w:rPr>
                <w:sz w:val="15"/>
                <w:szCs w:val="15"/>
              </w:rPr>
              <w:t xml:space="preserve">Balance sheet classification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684"/>
            <w:tcMar>
              <w:top w:type="dxa" w:w="50"/>
              <w:left w:type="dxa" w:w="110"/>
              <w:bottom w:type="dxa" w:w="50"/>
              <w:right w:type="dxa" w:w="110"/>
            </w:tcMar>
          </w:tcPr>
          <w:p>
            <w:pPr>
              <w:spacing w:before="28" w:after="28"/>
            </w:pPr>
            <w:r>
              <w:rPr>
                <w:sz w:val="15"/>
                <w:szCs w:val="15"/>
              </w:rPr>
              <w:t xml:space="preserve">Non-current</w:t>
            </w:r>
          </w:p>
        </w:tc>
      </w:tr>
      <w:tr>
        <w:tc>
          <w:tcPr>
            <w:tcW w:type="pct" w:w="1116"/>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684"/>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valuation allowance   ·   Yes, outside business combinations (narrowed in 2021)   ·   Recognize   ·   Period cost; no deferred tax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9–15</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business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ASU 2023-09 applies to annual periods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business   ·   version   ·   reconciliation   ·   entities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20" w:after="20" w:line="360" w:lineRule="auto"/>
        <w:ind w:left="200"/>
      </w:pPr>
      <w:r>
        <w:rPr>
          <w:sz w:val="19"/>
          <w:szCs w:val="19"/>
        </w:rPr>
        <w:t xml:space="preserve">U.S. companies often call income tax expense the provision for income taxes. It is an expense, not an IAS 37 provision and not a reserve.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Answer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Mandatory exception; no deferred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tax basis   ·   Permanent difference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biggest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entities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Yes, outside business combinations (narrowed in 2021)</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Deductible temporary difference (DTA)</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disclose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f21923d0500c9882b696bf4c4cf6d35482aaf16.png" Type="http://schemas.openxmlformats.org/officeDocument/2006/relationships/image"/><Relationship Id="rId102" Target="media/f479c326a04e2fdde9edf736b23ca0f9dc5c18e5.png" Type="http://schemas.openxmlformats.org/officeDocument/2006/relationships/image"/><Relationship Id="rId103" Target="media/46161336aaa1fe5c9897d21eb406368b1b89664a.png" Type="http://schemas.openxmlformats.org/officeDocument/2006/relationships/image"/><Relationship Id="rId104" Target="media/19f71d641375f7d5461f6c2c087efeb67f1d26f0.png" Type="http://schemas.openxmlformats.org/officeDocument/2006/relationships/image"/><Relationship Id="rId105" Target="media/015b07e6086d8804d43f18e485e4d2375c75780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13</dc:title>
  <dc:subject>Summary handouts</dc:subject>
  <cp:category>Student Book</cp:category>
</cp:coreProperties>
</file>