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Gains and losses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Gains and losses   ·   holding gain or loss   ·   Presentation and IFRS differences   ·   Comprehensive income and reclassification</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A gain 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an increase or decrease in equity from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 incidental transaction: something other than the company's main activities and other than a transaction with owners. </w:t>
      </w:r>
      <w:r>
        <w:rPr>
          <w:sz w:val="19"/>
          <w:szCs w:val="19"/>
        </w:rPr>
        <w:t xml:space="preserve">Selling an old machine,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lawsuit and a change in the value of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examples. </w:t>
      </w:r>
      <w:r>
        <w:rPr>
          <w:sz w:val="19"/>
          <w:szCs w:val="19"/>
        </w:rPr>
        <w:t xml:space="preserve">Gains and losses are shown net. </w:t>
      </w:r>
      <w:r>
        <w:rPr>
          <w:sz w:val="19"/>
          <w:szCs w:val="19"/>
        </w:rPr>
        <w:t xml:space="preserve">When Orontes sold its old Dubai oven, it did not report the proceeds as revenue;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gain of $3,000: the proceeds minus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amount. </w:t>
      </w:r>
      <w:r>
        <w:rPr>
          <w:sz w:val="19"/>
          <w:szCs w:val="19"/>
        </w:rPr>
        <w:t xml:space="preserve">In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statement, most gains and losses appear in other income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below operating income. </w:t>
      </w:r>
      <w:r>
        <w:rPr>
          <w:sz w:val="19"/>
          <w:szCs w:val="19"/>
        </w:rPr>
        <w:t xml:space="preserve">Losses that arise from operating assets, such as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usually shown within operating expenses. </w:t>
      </w:r>
      <w:r>
        <w:rPr>
          <w:sz w:val="19"/>
          <w:szCs w:val="19"/>
        </w:rPr>
        <w:t xml:space="preserve">Items that are unusual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get a separate line within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operations, before tax.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infrequent   ·   carrying   ·   continuing   ·   multi-step   ·   expense   ·   reported   ·   loss   ·   settling   ·   operating   ·   investment   ·   impairments   ·   peripheral</w:t>
            </w:r>
          </w:p>
        </w:tc>
      </w:tr>
    </w:tbl>
    <w:p/>
    <w:p>
      <w:pPr>
        <w:pageBreakBefore w:val="true"/>
        <w:spacing w:after="0"/>
      </w:pPr>
      <w:r>
        <w:rPr>
          <w:sz w:val="2"/>
        </w:rPr>
        <w:t xml:space="preserve"> </w:t>
      </w:r>
    </w:p>
    <w:p>
      <w:pPr>
        <w:spacing w:before="44" w:after="10"/>
      </w:pPr>
      <w:r>
        <w:rPr>
          <w:b/>
          <w:bCs/>
          <w:color w:val="353A7C"/>
          <w:sz w:val="18"/>
          <w:szCs w:val="18"/>
        </w:rPr>
        <w:t xml:space="preserve">Where Orontes's 2025 gains and losses appear</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0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010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Unrealized gains on securities (Chapter 9)   ·   Unrealized loss on AFS debt securities, net of tax   ·   Impairment losses (Chapter 10)   ·   holding gain or loss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loss   ·   gain   ·   خسارة</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gain</w:t>
            </w:r>
          </w:p>
        </w:tc>
        <w:tc>
          <w:tcPr>
            <w:tcW w:type="pct" w:w="2600"/>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tcMar>
              <w:top w:type="dxa" w:w="50"/>
              <w:left w:type="dxa" w:w="110"/>
              <w:bottom w:type="dxa" w:w="50"/>
              <w:right w:type="dxa" w:w="110"/>
            </w:tcMar>
          </w:tcPr>
          <w:p>
            <w:pPr>
              <w:spacing w:before="26" w:after="26"/>
            </w:pPr>
            <w:r>
              <w:rPr>
                <w:color w:val="232733"/>
                <w:sz w:val="16"/>
                <w:szCs w:val="16"/>
              </w:rPr>
              <w:t xml:space="preserve">holding gain or loss</w:t>
            </w:r>
          </w:p>
        </w:tc>
        <w:tc>
          <w:tcPr>
            <w:tcW w:type="pct" w:w="2600"/>
            <w:tcMar>
              <w:top w:type="dxa" w:w="50"/>
              <w:left w:type="dxa" w:w="110"/>
              <w:bottom w:type="dxa" w:w="50"/>
              <w:right w:type="dxa" w:w="110"/>
            </w:tcMar>
          </w:tcPr>
          <w:p>
            <w:pPr>
              <w:spacing w:before="26" w:after="26"/>
            </w:pPr>
            <w:r>
              <w:rPr>
                <w:color w:val="232733"/>
                <w:sz w:val="16"/>
                <w:szCs w:val="16"/>
              </w:rPr>
              <w:t xml:space="preserve">مكسب أو خسارة الاحتفاظ</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Gains and losses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Gains and losses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Comprehensive income and reclassification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impairments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Presentation and IFRS 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infrequent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continuing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peripheral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Unrealized gains on securities (Chapter 9)</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settling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Impairment losses (Chapter 10)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Unrealized loss on AFS debt securities, net of 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carrying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multi-step</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 Gains and losses are shown net. When Orontes sold its old Dubai oven, it did not report the proceeds as revenue; it reported a gain of $3,000: the proceeds minus the carrying amount. In a multi-step statement, most gains and losses appear in other income and expense, below operating income. Losses that arise from operating assets, such as impairments, are usually shown within operating expenses. Items that are unusual or infrequent get a separate line within continuing operations, before tax.</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Expense recognition</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The set, member by member</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72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723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When there is a clear cause and effect   ·   expensed   ·   recognized   ·   fair value less cost to sell   ·   When a cost has no clear link to future revenue   ·   principle</w:t>
            </w:r>
          </w:p>
        </w:tc>
      </w:tr>
    </w:tbl>
    <w:p/>
    <w:p>
      <w:pPr>
        <w:spacing w:before="44" w:after="14"/>
      </w:pPr>
      <w:r>
        <w:rPr>
          <w:b/>
          <w:bCs/>
          <w:color w:val="353A7C"/>
          <w:sz w:val="18"/>
          <w:szCs w:val="18"/>
        </w:rPr>
        <w:t xml:space="preserve">Summary 1</w:t>
      </w:r>
      <w:r>
        <w:rPr>
          <w:color w:val="6B7280"/>
          <w:sz w:val="16"/>
          <w:szCs w:val="16"/>
        </w:rPr>
        <w:t xml:space="preserve">      gaps 6–7</w:t>
      </w:r>
    </w:p>
    <w:p>
      <w:pPr>
        <w:spacing w:before="20" w:after="20" w:line="360" w:lineRule="auto"/>
        <w:ind w:left="200"/>
      </w:pPr>
      <w:r>
        <w:rPr>
          <w:sz w:val="19"/>
          <w:szCs w:val="19"/>
        </w:rPr>
        <w:t xml:space="preserve">Advertising and research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expensed when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even if they may bring future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development   ·   recognition   ·   incurred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70"/>
        <w:gridCol w:w="3015"/>
        <w:gridCol w:w="41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Three expense recognition approaches</w:t>
            </w:r>
          </w:p>
        </w:tc>
      </w:tr>
      <w:tr>
        <w:tc>
          <w:tcPr>
            <w:tcW w:type="pct" w:w="1287"/>
            <w:shd w:fill="353A7C" w:val="clear"/>
            <w:tcMar>
              <w:top w:type="dxa" w:w="50"/>
              <w:left w:type="dxa" w:w="110"/>
              <w:bottom w:type="dxa" w:w="50"/>
              <w:right w:type="dxa" w:w="110"/>
            </w:tcMar>
          </w:tcPr>
          <w:p>
            <w:pPr>
              <w:spacing w:before="30" w:after="30"/>
            </w:pPr>
            <w:r>
              <w:rPr>
                <w:b/>
                <w:bCs/>
                <w:color w:val="FFFFFF"/>
                <w:sz w:val="15"/>
                <w:szCs w:val="15"/>
              </w:rPr>
              <w:t xml:space="preserve">Approach</w:t>
            </w:r>
          </w:p>
        </w:tc>
        <w:tc>
          <w:tcPr>
            <w:tcW w:type="pct" w:w="1571"/>
            <w:shd w:fill="353A7C" w:val="clear"/>
            <w:tcMar>
              <w:top w:type="dxa" w:w="50"/>
              <w:left w:type="dxa" w:w="110"/>
              <w:bottom w:type="dxa" w:w="50"/>
              <w:right w:type="dxa" w:w="110"/>
            </w:tcMar>
          </w:tcPr>
          <w:p>
            <w:pPr>
              <w:spacing w:before="30" w:after="30"/>
            </w:pPr>
            <w:r>
              <w:rPr>
                <w:b/>
                <w:bCs/>
                <w:color w:val="FFFFFF"/>
                <w:sz w:val="15"/>
                <w:szCs w:val="15"/>
              </w:rPr>
              <w:t xml:space="preserve">Idea</w:t>
            </w:r>
          </w:p>
        </w:tc>
        <w:tc>
          <w:tcPr>
            <w:tcW w:type="pct" w:w="2143"/>
            <w:shd w:fill="353A7C" w:val="clear"/>
            <w:tcMar>
              <w:top w:type="dxa" w:w="50"/>
              <w:left w:type="dxa" w:w="110"/>
              <w:bottom w:type="dxa" w:w="50"/>
              <w:right w:type="dxa" w:w="110"/>
            </w:tcMar>
          </w:tcPr>
          <w:p>
            <w:pPr>
              <w:spacing w:before="30" w:after="30"/>
            </w:pPr>
            <w:r>
              <w:rPr>
                <w:b/>
                <w:bCs/>
                <w:color w:val="FFFFFF"/>
                <w:sz w:val="15"/>
                <w:szCs w:val="15"/>
              </w:rPr>
              <w:t xml:space="preserve">Orontes examples</w:t>
            </w:r>
          </w:p>
        </w:tc>
      </w:tr>
      <w:tr>
        <w:tc>
          <w:tcPr>
            <w:tcW w:type="pct" w:w="1287"/>
            <w:tcMar>
              <w:top w:type="dxa" w:w="50"/>
              <w:left w:type="dxa" w:w="110"/>
              <w:bottom w:type="dxa" w:w="50"/>
              <w:right w:type="dxa" w:w="110"/>
            </w:tcMar>
          </w:tcPr>
          <w:p>
            <w:pPr>
              <w:spacing w:before="28" w:after="28"/>
            </w:pPr>
            <w:r>
              <w:rPr>
                <w:sz w:val="15"/>
                <w:szCs w:val="15"/>
              </w:rPr>
              <w:t xml:space="preserve">Cause and effect (matching)</w:t>
            </w:r>
          </w:p>
        </w:tc>
        <w:tc>
          <w:tcPr>
            <w:tcW w:type="pct" w:w="1571"/>
            <w:tcMar>
              <w:top w:type="dxa" w:w="50"/>
              <w:left w:type="dxa" w:w="110"/>
              <w:bottom w:type="dxa" w:w="50"/>
              <w:right w:type="dxa" w:w="110"/>
            </w:tcMar>
          </w:tcPr>
          <w:p>
            <w:pPr>
              <w:spacing w:before="28" w:after="28"/>
            </w:pPr>
            <w:r>
              <w:rPr>
                <w:sz w:val="15"/>
                <w:szCs w:val="15"/>
              </w:rPr>
              <w:t xml:space="preserve">Expense follows the related revenue</w:t>
            </w:r>
          </w:p>
        </w:tc>
        <w:tc>
          <w:tcPr>
            <w:tcW w:type="pct" w:w="2143"/>
            <w:tcMar>
              <w:top w:type="dxa" w:w="50"/>
              <w:left w:type="dxa" w:w="110"/>
              <w:bottom w:type="dxa" w:w="50"/>
              <w:right w:type="dxa" w:w="110"/>
            </w:tcMar>
          </w:tcPr>
          <w:p>
            <w:pPr>
              <w:spacing w:before="28" w:after="28"/>
            </w:pPr>
            <w:r>
              <w:rPr>
                <w:sz w:val="15"/>
                <w:szCs w:val="15"/>
              </w:rPr>
              <w:t xml:space="preserve">Cost of goods sold; sales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(capitalized, Chapter 11)</w:t>
            </w:r>
          </w:p>
        </w:tc>
      </w:tr>
      <w:tr>
        <w:tc>
          <w:tcPr>
            <w:tcW w:type="pct" w:w="1287"/>
            <w:shd w:fill="FBFAF6" w:val="clear"/>
            <w:tcMar>
              <w:top w:type="dxa" w:w="50"/>
              <w:left w:type="dxa" w:w="110"/>
              <w:bottom w:type="dxa" w:w="50"/>
              <w:right w:type="dxa" w:w="110"/>
            </w:tcMar>
          </w:tcPr>
          <w:p>
            <w:pPr>
              <w:spacing w:before="28" w:after="28"/>
            </w:pPr>
            <w:r>
              <w:rPr>
                <w:sz w:val="15"/>
                <w:szCs w:val="15"/>
              </w:rPr>
              <w:t xml:space="preserve">Systematic and rational allocation</w:t>
            </w:r>
          </w:p>
        </w:tc>
        <w:tc>
          <w:tcPr>
            <w:tcW w:type="pct" w:w="1571"/>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143"/>
            <w:shd w:fill="FBFAF6" w:val="clear"/>
            <w:tcMar>
              <w:top w:type="dxa" w:w="50"/>
              <w:left w:type="dxa" w:w="110"/>
              <w:bottom w:type="dxa" w:w="50"/>
              <w:right w:type="dxa" w:w="110"/>
            </w:tcMar>
          </w:tcPr>
          <w:p>
            <w:pPr>
              <w:spacing w:before="28" w:after="28"/>
            </w:pPr>
            <w:r>
              <w:rPr>
                <w:sz w:val="15"/>
                <w:szCs w:val="15"/>
              </w:rPr>
              <w:t xml:space="preserve">Depreciation of the bottling line; prepaid rent</w:t>
            </w:r>
          </w:p>
        </w:tc>
      </w:tr>
      <w:tr>
        <w:tc>
          <w:tcPr>
            <w:tcW w:type="pct" w:w="1287"/>
            <w:tcMar>
              <w:top w:type="dxa" w:w="50"/>
              <w:left w:type="dxa" w:w="110"/>
              <w:bottom w:type="dxa" w:w="50"/>
              <w:right w:type="dxa" w:w="110"/>
            </w:tcMar>
          </w:tcPr>
          <w:p>
            <w:pPr>
              <w:spacing w:before="28" w:after="28"/>
            </w:pPr>
            <w:r>
              <w:rPr>
                <w:sz w:val="15"/>
                <w:szCs w:val="15"/>
              </w:rPr>
              <w:t xml:space="preserve">Immediate recognition</w:t>
            </w:r>
          </w:p>
        </w:tc>
        <w:tc>
          <w:tcPr>
            <w:tcW w:type="pct" w:w="1571"/>
            <w:tcMar>
              <w:top w:type="dxa" w:w="50"/>
              <w:left w:type="dxa" w:w="110"/>
              <w:bottom w:type="dxa" w:w="50"/>
              <w:right w:type="dxa" w:w="110"/>
            </w:tcMar>
          </w:tcPr>
          <w:p>
            <w:pPr>
              <w:spacing w:before="28" w:after="28"/>
            </w:pPr>
            <w:r>
              <w:rPr>
                <w:sz w:val="15"/>
                <w:szCs w:val="15"/>
              </w:rPr>
              <w:t xml:space="preserve">No clear link to future revenue: a period cost</w:t>
            </w:r>
          </w:p>
        </w:tc>
        <w:tc>
          <w:tcPr>
            <w:tcW w:type="pct" w:w="2143"/>
            <w:tcMar>
              <w:top w:type="dxa" w:w="50"/>
              <w:left w:type="dxa" w:w="110"/>
              <w:bottom w:type="dxa" w:w="50"/>
              <w:right w:type="dxa" w:w="110"/>
            </w:tcMar>
          </w:tcPr>
          <w:p>
            <w:pPr>
              <w:spacing w:before="28" w:after="28"/>
            </w:pPr>
            <w:r>
              <w:rPr>
                <w:sz w:val="15"/>
                <w:szCs w:val="15"/>
              </w:rPr>
              <w:t xml:space="preserve">Advertising; research and development; most general </w:t>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commissions   ·   No clear link to future revenue   ·   administration   ·   Cost spread over the periods that benefit</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ASU 2024-03 will require public companies to break down some expense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the notes, for example into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purchases, employee pay and depreciation. </w:t>
      </w:r>
      <w:r>
        <w:rPr>
          <w:sz w:val="19"/>
          <w:szCs w:val="19"/>
        </w:rPr>
        <w:t xml:space="preserve">It does not change recognition, and it is not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examples   ·   testable   ·   inventory   ·   captions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systematic and rational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التوزيع المنتظم والمنطقي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Expense recognition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When there is a clear cause and effect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commissions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Cost spread over the periods that 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administration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When a cost has no clear link to future revenue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expensed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incurred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Advertising and research and development are expensed when incurred, even if they may bring future sales.</w:t>
      </w:r>
    </w:p>
    <w:p>
      <w:pPr>
        <w:spacing w:before="20" w:after="20"/>
        <w:ind w:left="240" w:hanging="240"/>
      </w:pPr>
      <w:r>
        <w:rPr>
          <w:b/>
          <w:bCs/>
          <w:color w:val="353A7C"/>
          <w:sz w:val="15"/>
          <w:szCs w:val="15"/>
        </w:rPr>
        <w:t xml:space="preserve">Summary 2   </w:t>
      </w:r>
      <w:r>
        <w:rPr>
          <w:color w:val="6B7280"/>
          <w:sz w:val="15"/>
          <w:szCs w:val="15"/>
        </w:rPr>
        <w:t xml:space="preserve">ASU 2024-03 will require public companies to break down some expense captions in the notes, for example into inventory purchases, employee pay and depreciation. It does not change recognition, and it is not testable before about January 2028.</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Comprehensive income and reclassification</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Comprehensive income is net income plus other comprehensive income. </w:t>
      </w:r>
      <w:r>
        <w:rPr>
          <w:sz w:val="19"/>
          <w:szCs w:val="19"/>
        </w:rPr>
        <w:t xml:space="preserve">U.S. OCI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holding gains and losses on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debt securities, foreign currency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adjustments,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part of cash-flow hedges, and some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gains and losses.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gains on equity securities are not OCI; they go to net income. </w:t>
      </w:r>
      <w:r>
        <w:rPr>
          <w:sz w:val="19"/>
          <w:szCs w:val="19"/>
        </w:rPr>
        <w:t xml:space="preserve">When an OCI item is realized, for example when an AFS bond is sold, the gain moves into net income. </w:t>
      </w:r>
      <w:r>
        <w:rPr>
          <w:sz w:val="19"/>
          <w:szCs w:val="19"/>
        </w:rPr>
        <w:t xml:space="preserve">At the same time a reclassification adjustment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from OCI.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this adjustment, the same gain would be counted twice in comprehensive income: once in OCI when it arose, and again in net income on the sale. </w:t>
      </w:r>
      <w:r>
        <w:rPr>
          <w:sz w:val="19"/>
          <w:szCs w:val="19"/>
        </w:rPr>
        <w:t xml:space="preserve">Its value rises to $108,000 at the end of 2026,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sells it for $110,000 in 2027. </w:t>
      </w:r>
      <w:r>
        <w:rPr>
          <w:sz w:val="19"/>
          <w:szCs w:val="19"/>
        </w:rPr>
        <w:t xml:space="preserve">Over the two years, comprehensive income before tax is $10,000: the total gain, counted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   removes   ·   Orontes   ·   Without   ·   adjustments   ·   available-for-sale   ·   includes   ·   pension   ·   Unrealized   ·   translation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reclassification adjustment</w:t>
            </w:r>
          </w:p>
        </w:tc>
      </w:tr>
    </w:tbl>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After tax at 25%, OCI is $6,000, and AOCI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up by the same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OCI for 2027 shows the holding gain of $2,000 and a reclassification of −$10,000: a net OCI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$8,000 before tax, $6,000 after tax. </w:t>
      </w:r>
      <w:r>
        <w:rPr>
          <w:sz w:val="19"/>
          <w:szCs w:val="19"/>
        </w:rPr>
        <w:t xml:space="preserve">AOCI for this bond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zero.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builds   ·   returns   ·   amount   ·   Unrealized   ·   loss</w:t>
            </w:r>
          </w:p>
        </w:tc>
      </w:tr>
    </w:tbl>
    <w:p/>
    <w:p>
      <w:pPr>
        <w:spacing w:before="44" w:after="10"/>
      </w:pPr>
      <w:r>
        <w:rPr>
          <w:b/>
          <w:bCs/>
          <w:color w:val="353A7C"/>
          <w:sz w:val="18"/>
          <w:szCs w:val="18"/>
        </w:rPr>
        <w:t xml:space="preserve">Suppose: OCI and the reclassification adjustment for an AFS bond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98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980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OCI, net of tax   ·   Holding gain during the year   ·   AOCI at year-end (for this bond)   ·   Reclassification adjustment</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Comprehensive income traps</w:t>
            </w:r>
          </w:p>
        </w:tc>
      </w:tr>
    </w:tbl>
    <w:p/>
    <w:p>
      <w:pPr>
        <w:spacing w:before="44" w:after="14"/>
      </w:pPr>
      <w:r>
        <w:rPr>
          <w:b/>
          <w:bCs/>
          <w:color w:val="353A7C"/>
          <w:sz w:val="18"/>
          <w:szCs w:val="18"/>
        </w:rPr>
        <w:t xml:space="preserve">Summary 3</w:t>
      </w:r>
      <w:r>
        <w:rPr>
          <w:color w:val="6B7280"/>
          <w:sz w:val="16"/>
          <w:szCs w:val="16"/>
        </w:rPr>
        <w:t xml:space="preserve">      gaps 17–19</w:t>
      </w:r>
    </w:p>
    <w:p>
      <w:pPr>
        <w:spacing w:before="20" w:after="20" w:line="360" w:lineRule="auto"/>
        <w:ind w:left="200"/>
      </w:pPr>
      <w:r>
        <w:rPr>
          <w:sz w:val="19"/>
          <w:szCs w:val="19"/>
        </w:rPr>
        <w:t xml:space="preserve">Forgetting the reclassification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realized gain twice. </w:t>
      </w:r>
      <w:r>
        <w:rPr>
          <w:sz w:val="19"/>
          <w:szCs w:val="19"/>
        </w:rPr>
        <w:t xml:space="preserve">Comprehensive income adds this year's OCI, not the AOCI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OCI net of tax, or before tax with one tax line: do not mix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counts   ·   balance   ·   Report   ·   translation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reclassification adjustment   ·   disposal group   ·   comprehensive income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Comprehensive income and reclassification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includes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available-for-sale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returns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translation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Reclassification 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Holding gain during the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pension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AOCI at year-end (for this bond)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Unrealized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comprehensive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builds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reclassification 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amount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Comprehensive income is net income plus other comprehensive income. U.S. OCI includes holding gains and losses on available-for-sale debt securities, foreign currency translation adjustments, the effective part of cash-flow hedges, and some pension gains and losses. Unrealized gains on equity securities are not OCI; they go to net income. When an OCI item is realized, for example when an AFS bond is sold, the gain moves into net income. At the same time a reclassification adjustment removes it from OCI. Without this adjustment, the same gain would be counted twice in comprehensive income: once in OCI when it arose, and again in net income on the sale. Its value rises to $108,000 at the end of 2026, and Orontes sells it for $110,000 in 2027. Over the two years, comprehensive income before tax is $10,000: the total gain, counted once.</w:t>
      </w:r>
    </w:p>
    <w:p>
      <w:pPr>
        <w:spacing w:before="20" w:after="20"/>
        <w:ind w:left="240" w:hanging="240"/>
      </w:pPr>
      <w:r>
        <w:rPr>
          <w:b/>
          <w:bCs/>
          <w:color w:val="353A7C"/>
          <w:sz w:val="15"/>
          <w:szCs w:val="15"/>
        </w:rPr>
        <w:t xml:space="preserve">Summary 2   </w:t>
      </w:r>
      <w:r>
        <w:rPr>
          <w:color w:val="6B7280"/>
          <w:sz w:val="15"/>
          <w:szCs w:val="15"/>
        </w:rPr>
        <w:t xml:space="preserve">After tax at 25%, OCI is $6,000, and AOCI builds up by the same amount. OCI for 2027 shows the holding gain of $2,000 and a reclassification of −$10,000: a net OCI loss of $8,000 before tax, $6,000 after tax. AOCI for this bond returns to zero.</w:t>
      </w:r>
    </w:p>
    <w:p>
      <w:pPr>
        <w:spacing w:before="20" w:after="20"/>
        <w:ind w:left="240" w:hanging="240"/>
      </w:pPr>
      <w:r>
        <w:rPr>
          <w:b/>
          <w:bCs/>
          <w:color w:val="353A7C"/>
          <w:sz w:val="15"/>
          <w:szCs w:val="15"/>
        </w:rPr>
        <w:t xml:space="preserve">Summary 3   </w:t>
      </w:r>
      <w:r>
        <w:rPr>
          <w:color w:val="6B7280"/>
          <w:sz w:val="15"/>
          <w:szCs w:val="15"/>
        </w:rPr>
        <w:t xml:space="preserve">Forgetting the reclassification counts a realized gain twice. Comprehensive income adds this year's OCI, not the AOCI balance. Report OCI net of tax, or before tax with one tax line: do not mix them.</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Is it a discontinued operation?</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disposal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 a discontinued operation only if three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are true. </w:t>
      </w:r>
      <w:r>
        <w:rPr>
          <w:sz w:val="19"/>
          <w:szCs w:val="19"/>
        </w:rPr>
        <w:t xml:space="preserve">There is no official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for 'major'; it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Selling one machine, one store or one small product is not a strategic shift.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 loss stays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operations, as for the Dubai oven. </w:t>
      </w:r>
      <w:r>
        <w:rPr>
          <w:sz w:val="19"/>
          <w:szCs w:val="19"/>
        </w:rPr>
        <w:t xml:space="preserve">A business that meets the held-for-sale criteria when it is acquired is also a discontinued operation.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   ·   things   ·   disposal   ·   gain   ·   reported   ·   continuing   ·   judgment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Strategic shift or not?</w:t>
            </w:r>
          </w:p>
        </w:tc>
      </w:tr>
    </w:tbl>
    <w:p/>
    <w:p>
      <w:pPr>
        <w:spacing w:before="20" w:after="20" w:line="360" w:lineRule="auto"/>
        <w:ind w:left="200"/>
      </w:pPr>
      <w:r>
        <w:rPr>
          <w:sz w:val="19"/>
          <w:szCs w:val="19"/>
        </w:rPr>
        <w:t xml:space="preserve">The first two are done. Decide whether each of the others is a discontinued operation.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Strategic shift or not?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these disposals happen</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Discontinued operation?</w:t>
            </w:r>
          </w:p>
        </w:tc>
      </w:tr>
      <w:tr>
        <w:tc>
          <w:tcPr>
            <w:tcW w:type="pct" w:w="2600"/>
            <w:tcMar>
              <w:top w:type="dxa" w:w="50"/>
              <w:left w:type="dxa" w:w="110"/>
              <w:bottom w:type="dxa" w:w="50"/>
              <w:right w:type="dxa" w:w="110"/>
            </w:tcMar>
          </w:tcPr>
          <w:p>
            <w:pPr>
              <w:spacing w:before="28" w:after="28"/>
            </w:pPr>
            <w:r>
              <w:rPr>
                <w:sz w:val="15"/>
                <w:szCs w:val="15"/>
              </w:rPr>
              <w:t xml:space="preserve">Orontes sells its whole frozen-foods business, one of its four product lines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Orontes closes one of its twelve olive-oil shops</w:t>
            </w:r>
          </w:p>
        </w:tc>
        <w:tc>
          <w:tcPr>
            <w:tcW w:type="pct" w:w="2400"/>
            <w:shd w:fill="FBFAF6" w:val="clear"/>
            <w:tcMar>
              <w:top w:type="dxa" w:w="50"/>
              <w:left w:type="dxa" w:w="110"/>
              <w:bottom w:type="dxa" w:w="50"/>
              <w:right w:type="dxa" w:w="110"/>
            </w:tcMar>
          </w:tcPr>
          <w:p>
            <w:pPr>
              <w:spacing w:before="28" w:after="28"/>
            </w:pPr>
            <w:r>
              <w:rPr>
                <w:sz w:val="15"/>
                <w:szCs w:val="15"/>
              </w:rPr>
              <w:t xml:space="preserve">No: not a strategic shift</w:t>
            </w:r>
          </w:p>
        </w:tc>
      </w:tr>
      <w:tr>
        <w:tc>
          <w:tcPr>
            <w:tcW w:type="pct" w:w="2600"/>
            <w:tcMar>
              <w:top w:type="dxa" w:w="50"/>
              <w:left w:type="dxa" w:w="110"/>
              <w:bottom w:type="dxa" w:w="50"/>
              <w:right w:type="dxa" w:w="110"/>
            </w:tcMar>
          </w:tcPr>
          <w:p>
            <w:pPr>
              <w:spacing w:before="28" w:after="28"/>
            </w:pPr>
            <w:r>
              <w:rPr>
                <w:sz w:val="15"/>
                <w:szCs w:val="15"/>
              </w:rPr>
              <w:t xml:space="preserve">Orontes sells all its operations in Jordan, its only foreign market</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Orontes sells an old bottling machine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Orontes sells its 30% stake in Jordan Glass, a major equity-method investment</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Orontes stops selling one flavour of juice</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fair value less cost to sell   ·   Yes: a major line of business</w:t>
            </w:r>
          </w:p>
        </w:tc>
      </w:tr>
    </w:tbl>
    <w:p/>
    <w:p>
      <w:pPr>
        <w:spacing w:before="44" w:after="10"/>
      </w:pPr>
      <w:r>
        <w:rPr>
          <w:b/>
          <w:bCs/>
          <w:color w:val="353A7C"/>
          <w:sz w:val="18"/>
          <w:szCs w:val="18"/>
        </w:rPr>
        <w:t xml:space="preserve">The steps, in order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5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56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 for sale   ·   geographic   ·   the disposal is a strategic shift that has   ·   it is a component of an entity   ·   separated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تحول استراتيجي   ·   component of an entity   ·   discontinued operation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600"/>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r>
        <w:tc>
          <w:tcPr>
            <w:tcW w:type="pct" w:w="2400"/>
            <w:tcMar>
              <w:top w:type="dxa" w:w="50"/>
              <w:left w:type="dxa" w:w="110"/>
              <w:bottom w:type="dxa" w:w="50"/>
              <w:right w:type="dxa" w:w="110"/>
            </w:tcMar>
          </w:tcPr>
          <w:p>
            <w:pPr>
              <w:spacing w:before="26" w:after="26"/>
            </w:pPr>
            <w:r>
              <w:rPr>
                <w:color w:val="232733"/>
                <w:sz w:val="16"/>
                <w:szCs w:val="16"/>
              </w:rPr>
              <w:t xml:space="preserve">strategic shift</w:t>
            </w:r>
          </w:p>
        </w:tc>
        <w:tc>
          <w:tcPr>
            <w:tcW w:type="pct" w:w="2600"/>
            <w:tcMar>
              <w:top w:type="dxa" w:w="50"/>
              <w:left w:type="dxa" w:w="110"/>
              <w:bottom w:type="dxa" w:w="50"/>
              <w:right w:type="dxa" w:w="110"/>
            </w:tcMar>
          </w:tcPr>
          <w:p>
            <w:pPr>
              <w:spacing w:before="26" w:after="26"/>
            </w:pPr>
            <w:r>
              <w:rPr>
                <w:color w:val="232733"/>
                <w:sz w:val="16"/>
                <w:szCs w:val="16"/>
              </w:rPr>
              <w:t xml:space="preserve">تحول استراتيجي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Is it a discontinued operation?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separated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the disposal is a strategic shift that has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held for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geographic</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discontinued operation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continuing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component of an entity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Yes: a major line of business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disposal is reported as a discontinued operation only if three things are true. There is no official percentage for 'major'; it is a judgment. Selling one machine, one store or one small product is not a strategic shift. The gain or loss stays in continuing operations, as for the Dubai oven. A business that meets the held-for-sale criteria when it is acquired is also a discontinued operation.</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Held for sale: criteria and measurement</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can be reported as discontinued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is sold, once it is held for sale. </w:t>
      </w:r>
      <w:r>
        <w:rPr>
          <w:sz w:val="19"/>
          <w:szCs w:val="19"/>
        </w:rPr>
        <w:t xml:space="preserve">All six criteria must be met: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authority commits to a plan; the business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immediate sale; an active search for a buyer has begun; a sale is probable within one year; the price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plan is unlikely to change. </w:t>
      </w:r>
      <w:r>
        <w:rPr>
          <w:sz w:val="19"/>
          <w:szCs w:val="19"/>
        </w:rPr>
        <w:t xml:space="preserve">A held-for-sale disposal group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the lower of its carrying amount and its fair value less cost to sell. </w:t>
      </w:r>
      <w:r>
        <w:rPr>
          <w:sz w:val="19"/>
          <w:szCs w:val="19"/>
        </w:rPr>
        <w:t xml:space="preserve">Any write-down is a loss. </w:t>
      </w:r>
      <w:r>
        <w:rPr>
          <w:sz w:val="19"/>
          <w:szCs w:val="19"/>
        </w:rPr>
        <w:t xml:space="preserve">Depreciation stops, and later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value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only up to the losses already recorded. </w:t>
      </w:r>
      <w:r>
        <w:rPr>
          <w:sz w:val="19"/>
          <w:szCs w:val="19"/>
        </w:rPr>
        <w:t xml:space="preserve">The board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plan in March, but the business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held for sale only on June 30, when all six criteria were met.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frozen-foods goodwill left after the 2025 impairment. </w:t>
      </w:r>
      <w:r>
        <w:rPr>
          <w:sz w:val="19"/>
          <w:szCs w:val="19"/>
        </w:rPr>
        <w:t xml:space="preserve">The carrying amount of $3,180,000 is above fair value less cost to sell of $3,000,000, so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records a loss of $180,000. </w:t>
      </w:r>
      <w:r>
        <w:rPr>
          <w:sz w:val="19"/>
          <w:szCs w:val="19"/>
        </w:rPr>
        <w:t xml:space="preserve">This is the disposal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recognized   ·   before   ·   reasonable   ·   component   ·   available   ·   became   ·   approved   ·   increases   ·   includes   ·   already   ·   measured   ·   management   ·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Held-for-sale traps</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Board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alone is not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all six criteria must be met.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write-down when the group becomes held for sale, not only when it is sold. </w:t>
      </w:r>
      <w:r>
        <w:rPr>
          <w:sz w:val="19"/>
          <w:szCs w:val="19"/>
        </w:rPr>
        <w:t xml:space="preserve">Stop depreciation once the group is held for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approval   ·   enough   ·   Recognize   ·   impairment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measuring the frozen-foods disposal group on June 30, 2026</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frozen-foods disposal group, June 30, 2</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Property, plant and equipment, net</w:t>
            </w:r>
          </w:p>
        </w:tc>
        <w:tc>
          <w:tcPr>
            <w:tcW w:type="pct" w:w="2400"/>
            <w:tcMar>
              <w:top w:type="dxa" w:w="50"/>
              <w:left w:type="dxa" w:w="110"/>
              <w:bottom w:type="dxa" w:w="50"/>
              <w:right w:type="dxa" w:w="110"/>
            </w:tcMar>
          </w:tcPr>
          <w:p>
            <w:pPr>
              <w:spacing w:before="28" w:after="28"/>
            </w:pPr>
            <w:r>
              <w:rPr>
                <w:sz w:val="15"/>
                <w:szCs w:val="15"/>
              </w:rPr>
              <w:t xml:space="preserve">2,100,000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480,000</w:t>
            </w:r>
          </w:p>
        </w:tc>
      </w:tr>
      <w:tr>
        <w:tc>
          <w:tcPr>
            <w:tcW w:type="pct" w:w="2600"/>
            <w:tcMar>
              <w:top w:type="dxa" w:w="50"/>
              <w:left w:type="dxa" w:w="110"/>
              <w:bottom w:type="dxa" w:w="50"/>
              <w:right w:type="dxa" w:w="110"/>
            </w:tcMar>
          </w:tcPr>
          <w:p>
            <w:pPr>
              <w:spacing w:before="28" w:after="28"/>
            </w:pPr>
            <w:r>
              <w:rPr>
                <w:sz w:val="15"/>
                <w:szCs w:val="15"/>
              </w:rPr>
              <w:t xml:space="preserve">Receivables</w:t>
            </w:r>
          </w:p>
        </w:tc>
        <w:tc>
          <w:tcPr>
            <w:tcW w:type="pct" w:w="2400"/>
            <w:tcMar>
              <w:top w:type="dxa" w:w="50"/>
              <w:left w:type="dxa" w:w="110"/>
              <w:bottom w:type="dxa" w:w="50"/>
              <w:right w:type="dxa" w:w="110"/>
            </w:tcMar>
          </w:tcPr>
          <w:p>
            <w:pPr>
              <w:spacing w:before="28" w:after="28"/>
            </w:pPr>
            <w:r>
              <w:rPr>
                <w:sz w:val="15"/>
                <w:szCs w:val="15"/>
              </w:rPr>
              <w:t xml:space="preserve">400,000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Goodwill (left after the 2025 impairment, Chapter 10)</w:t>
            </w:r>
          </w:p>
        </w:tc>
        <w:tc>
          <w:tcPr>
            <w:tcW w:type="pct" w:w="2400"/>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(100,000)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Carrying amount of the disposal group</w:t>
            </w:r>
          </w:p>
        </w:tc>
        <w:tc>
          <w:tcPr>
            <w:tcW w:type="pct" w:w="2400"/>
            <w:shd w:fill="FBFAF6" w:val="clear"/>
            <w:tcMar>
              <w:top w:type="dxa" w:w="50"/>
              <w:left w:type="dxa" w:w="110"/>
              <w:bottom w:type="dxa" w:w="50"/>
              <w:right w:type="dxa" w:w="110"/>
            </w:tcMar>
          </w:tcPr>
          <w:p>
            <w:pPr>
              <w:spacing w:before="28" w:after="28"/>
            </w:pPr>
            <w:r>
              <w:rPr>
                <w:sz w:val="15"/>
                <w:szCs w:val="15"/>
              </w:rPr>
              <w:t xml:space="preserve">3,180,000</w:t>
            </w:r>
          </w:p>
        </w:tc>
      </w:tr>
      <w:tr>
        <w:tc>
          <w:tcPr>
            <w:tcW w:type="pct" w:w="2600"/>
            <w:tcMar>
              <w:top w:type="dxa" w:w="50"/>
              <w:left w:type="dxa" w:w="110"/>
              <w:bottom w:type="dxa" w:w="50"/>
              <w:right w:type="dxa" w:w="110"/>
            </w:tcMar>
          </w:tcPr>
          <w:p>
            <w:pPr>
              <w:spacing w:before="28" w:after="28"/>
            </w:pPr>
            <w:r>
              <w:rPr>
                <w:sz w:val="15"/>
                <w:szCs w:val="15"/>
              </w:rPr>
              <w:t xml:space="preserve">Fair value less cost to sell</w:t>
            </w:r>
          </w:p>
        </w:tc>
        <w:tc>
          <w:tcPr>
            <w:tcW w:type="pct" w:w="2400"/>
            <w:tcMar>
              <w:top w:type="dxa" w:w="50"/>
              <w:left w:type="dxa" w:w="110"/>
              <w:bottom w:type="dxa" w:w="50"/>
              <w:right w:type="dxa" w:w="110"/>
            </w:tcMar>
          </w:tcPr>
          <w:p>
            <w:pPr>
              <w:spacing w:before="28" w:after="28"/>
            </w:pPr>
            <w:r>
              <w:rPr>
                <w:sz w:val="15"/>
                <w:szCs w:val="15"/>
              </w:rPr>
              <w:t xml:space="preserve">3,000,000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shd w:fill="FBFAF6" w:val="clear"/>
            <w:tcMar>
              <w:top w:type="dxa" w:w="50"/>
              <w:left w:type="dxa" w:w="110"/>
              <w:bottom w:type="dxa" w:w="50"/>
              <w:right w:type="dxa" w:w="110"/>
            </w:tcMar>
          </w:tcPr>
          <w:p>
            <w:pPr>
              <w:spacing w:before="28" w:after="28"/>
            </w:pPr>
            <w:r>
              <w:rPr>
                <w:sz w:val="15"/>
                <w:szCs w:val="15"/>
              </w:rPr>
              <w:t xml:space="preserve">180,000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2400"/>
            <w:tcMar>
              <w:top w:type="dxa" w:w="50"/>
              <w:left w:type="dxa" w:w="110"/>
              <w:bottom w:type="dxa" w:w="50"/>
              <w:right w:type="dxa" w:w="110"/>
            </w:tcMar>
          </w:tcPr>
          <w:p>
            <w:pPr>
              <w:spacing w:before="28" w:after="28"/>
            </w:pPr>
            <w:r>
              <w:rPr>
                <w:sz w:val="15"/>
                <w:szCs w:val="15"/>
              </w:rPr>
              <w:t xml:space="preserve">3,000,000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Held-for-sale group at June 30, 2026   ·   Remeasurement loss (in discontinued operations)   ·   Less: accounts payable   ·   Inventory   ·   Carrying amount of the disposal group</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holding gain or loss   ·   fair value less cost to sell   ·   held for sale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held for sale</w:t>
            </w:r>
          </w:p>
        </w:tc>
        <w:tc>
          <w:tcPr>
            <w:tcW w:type="pct" w:w="2600"/>
            <w:tcMar>
              <w:top w:type="dxa" w:w="50"/>
              <w:left w:type="dxa" w:w="110"/>
              <w:bottom w:type="dxa" w:w="50"/>
              <w:right w:type="dxa" w:w="110"/>
            </w:tcMar>
          </w:tcPr>
          <w:p>
            <w:pPr>
              <w:spacing w:before="26" w:after="26"/>
            </w:pPr>
            <w:r>
              <w:rPr>
                <w:color w:val="232733"/>
                <w:sz w:val="16"/>
                <w:szCs w:val="16"/>
              </w:rPr>
              <w:t xml:space="preserve">محتفظ به للبيع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disposal group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مجموعة الاستبعاد</w:t>
            </w:r>
          </w:p>
        </w:tc>
      </w:tr>
      <w:tr>
        <w:tc>
          <w:tcPr>
            <w:tcW w:type="pct" w:w="2400"/>
            <w:tcMar>
              <w:top w:type="dxa" w:w="50"/>
              <w:left w:type="dxa" w:w="110"/>
              <w:bottom w:type="dxa" w:w="50"/>
              <w:right w:type="dxa" w:w="110"/>
            </w:tcMar>
          </w:tcPr>
          <w:p>
            <w:pPr>
              <w:spacing w:before="26" w:after="26"/>
            </w:pPr>
            <w:r>
              <w:rPr>
                <w:color w:val="232733"/>
                <w:sz w:val="16"/>
                <w:szCs w:val="16"/>
              </w:rPr>
              <w:t xml:space="preserve">fair value less cost to sell</w:t>
            </w:r>
          </w:p>
        </w:tc>
        <w:tc>
          <w:tcPr>
            <w:tcW w:type="pct" w:w="2600"/>
            <w:tcMar>
              <w:top w:type="dxa" w:w="50"/>
              <w:left w:type="dxa" w:w="110"/>
              <w:bottom w:type="dxa" w:w="50"/>
              <w:right w:type="dxa" w:w="110"/>
            </w:tcMar>
          </w:tcPr>
          <w:p>
            <w:pPr>
              <w:spacing w:before="26" w:after="26"/>
            </w:pPr>
            <w:r>
              <w:rPr>
                <w:color w:val="232733"/>
                <w:sz w:val="16"/>
                <w:szCs w:val="16"/>
              </w:rPr>
              <w:t xml:space="preserve">القيمة العادلة ناقصاً تكاليف البيع</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Held for sale: criteria and measurement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component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before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approval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Recognize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reasonable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Less: accounts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Remeasurement loss (in discontinued 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Held-for-sale group at June 30, 2026</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held for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became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fair value less cost to sell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includes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component can be reported as discontinued before it is sold, once it is held for sale. All six criteria must be met: management with authority commits to a plan; the business is available for immediate sale; an active search for a buyer has begun; a sale is probable within one year; the price is reasonable; and the plan is unlikely to change. A held-for-sale disposal group is measured at the lower of its carrying amount and its fair value less cost to sell. Any write-down is a loss. Depreciation stops, and later increases in value are recognized only up to the losses already recorded. The board approved the plan in March, but the business became held for sale only on June 30, when all six criteria were met. It includes the frozen-foods goodwill left after the 2025 impairment. The carrying amount of $3,180,000 is above fair value less cost to sell of $3,000,000, so Orontes records a loss of $180,000. This is the disposal loss.</w:t>
      </w:r>
    </w:p>
    <w:p>
      <w:pPr>
        <w:spacing w:before="20" w:after="20"/>
        <w:ind w:left="240" w:hanging="240"/>
      </w:pPr>
      <w:r>
        <w:rPr>
          <w:b/>
          <w:bCs/>
          <w:color w:val="353A7C"/>
          <w:sz w:val="15"/>
          <w:szCs w:val="15"/>
        </w:rPr>
        <w:t xml:space="preserve">Summary 2   </w:t>
      </w:r>
      <w:r>
        <w:rPr>
          <w:color w:val="6B7280"/>
          <w:sz w:val="15"/>
          <w:szCs w:val="15"/>
        </w:rPr>
        <w:t xml:space="preserve">Board approval alone is not enough: all six criteria must be met. Recognize the write-down when the group becomes held for sale, not only when it is sold. Stop depreciation once the group is held for sale.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Presentation and IFRS differences</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results of a discontinued operation,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its operating results and 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disposal gain or loss, are shown net of their own tax below income from continuing operations.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companies also show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amounts for discontinued operations. </w:t>
      </w:r>
      <w:r>
        <w:rPr>
          <w:sz w:val="19"/>
          <w:szCs w:val="19"/>
        </w:rPr>
        <w:t xml:space="preserve">The comparative years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so that all periods are shown on the same basis. </w:t>
      </w:r>
      <w:r>
        <w:rPr>
          <w:sz w:val="19"/>
          <w:szCs w:val="19"/>
        </w:rPr>
        <w:t xml:space="preserve">On the balance sheet, the assets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a discontinued operation are shown separately for all periods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assets that are not a discontinued operation are also shown separately, but their results stay in continuing operations. </w:t>
      </w:r>
      <w:r>
        <w:rPr>
          <w:sz w:val="19"/>
          <w:szCs w:val="19"/>
        </w:rPr>
        <w:t xml:space="preserve">Under IFRS 5, a discontinued operation must be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major line of business 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area, and earlier balance sheets are not re-presented. </w:t>
      </w:r>
      <w:r>
        <w:rPr>
          <w:sz w:val="19"/>
          <w:szCs w:val="19"/>
        </w:rPr>
        <w:t xml:space="preserve">Some IFRS OCI items, such as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surplus, never return to profit or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Held-for-sale   ·   remeasurement   ·   geographical   ·   per-share   ·   Public   ·   including   ·   liabilities   ·   presented   ·   reclassified   ·   separate   ·   revaluation</w:t>
            </w:r>
          </w:p>
        </w:tc>
      </w:tr>
    </w:tbl>
    <w:p/>
    <w:p>
      <w:pPr>
        <w:spacing w:before="44" w:after="10"/>
      </w:pPr>
      <w:r>
        <w:rPr>
          <w:b/>
          <w:bCs/>
          <w:color w:val="353A7C"/>
          <w:sz w:val="18"/>
          <w:szCs w:val="18"/>
        </w:rPr>
        <w:t xml:space="preserve">Discontinued operations and OCI: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79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795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 allowed   ·   Re-presented: assets and liabilities shown separately   ·   Component + strategic shift with a major effect   ·   Unchanged   ·   period cost   ·   Highly probable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17–18</w:t>
      </w:r>
    </w:p>
    <w:p>
      <w:pPr>
        <w:spacing w:before="20" w:after="20" w:line="360" w:lineRule="auto"/>
        <w:ind w:left="200"/>
      </w:pPr>
      <w:r>
        <w:rPr>
          <w:sz w:val="19"/>
          <w:szCs w:val="19"/>
        </w:rPr>
        <w:t xml:space="preserve">U.S. GAAP has no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items: unusual or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items stay in continuing operations, before tax. </w:t>
      </w:r>
      <w:r>
        <w:rPr>
          <w:sz w:val="19"/>
          <w:szCs w:val="19"/>
        </w:rPr>
        <w:t xml:space="preserve">Only discontinued operations are shown net of tax below continuing operations.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Held-for-sale   ·   infrequent   ·   extraordinary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2027 (USD 000)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Suppose: Orontes, 2027 (USD 000)</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Operating income</w:t>
            </w:r>
          </w:p>
        </w:tc>
        <w:tc>
          <w:tcPr>
            <w:tcW w:type="pct" w:w="2600"/>
            <w:tcMar>
              <w:top w:type="dxa" w:w="50"/>
              <w:left w:type="dxa" w:w="110"/>
              <w:bottom w:type="dxa" w:w="50"/>
              <w:right w:type="dxa" w:w="110"/>
            </w:tcMar>
          </w:tcPr>
          <w:p>
            <w:pPr>
              <w:spacing w:before="28" w:after="28"/>
            </w:pPr>
            <w:r>
              <w:rPr>
                <w:sz w:val="15"/>
                <w:szCs w:val="15"/>
              </w:rPr>
              <w:t xml:space="preserve">5,000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Gain on sale of a warehouse</w:t>
            </w:r>
          </w:p>
        </w:tc>
        <w:tc>
          <w:tcPr>
            <w:tcW w:type="pct" w:w="2600"/>
            <w:shd w:fill="FBFAF6" w:val="clear"/>
            <w:tcMar>
              <w:top w:type="dxa" w:w="50"/>
              <w:left w:type="dxa" w:w="110"/>
              <w:bottom w:type="dxa" w:w="50"/>
              <w:right w:type="dxa" w:w="110"/>
            </w:tcMar>
          </w:tcPr>
          <w:p>
            <w:pPr>
              <w:spacing w:before="28" w:after="28"/>
            </w:pPr>
            <w:r>
              <w:rPr>
                <w:sz w:val="15"/>
                <w:szCs w:val="15"/>
              </w:rPr>
              <w:t xml:space="preserve">200</w:t>
            </w:r>
          </w:p>
        </w:tc>
      </w:tr>
      <w:tr>
        <w:tc>
          <w:tcPr>
            <w:tcW w:type="pct" w:w="2400"/>
            <w:tcMar>
              <w:top w:type="dxa" w:w="50"/>
              <w:left w:type="dxa" w:w="110"/>
              <w:bottom w:type="dxa" w:w="50"/>
              <w:right w:type="dxa" w:w="110"/>
            </w:tcMar>
          </w:tcPr>
          <w:p>
            <w:pPr>
              <w:spacing w:before="28" w:after="28"/>
            </w:pPr>
            <w:r>
              <w:rPr>
                <w:sz w:val="15"/>
                <w:szCs w:val="15"/>
              </w:rPr>
              <w:t xml:space="preserve">Loss on settlement of a lawsuit (unusual for Orontes)</w:t>
            </w:r>
          </w:p>
        </w:tc>
        <w:tc>
          <w:tcPr>
            <w:tcW w:type="pct" w:w="2600"/>
            <w:tcMar>
              <w:top w:type="dxa" w:w="50"/>
              <w:left w:type="dxa" w:w="110"/>
              <w:bottom w:type="dxa" w:w="50"/>
              <w:right w:type="dxa" w:w="110"/>
            </w:tcMar>
          </w:tcPr>
          <w:p>
            <w:pPr>
              <w:spacing w:before="28" w:after="28"/>
            </w:pPr>
            <w:r>
              <w:rPr>
                <w:sz w:val="15"/>
                <w:szCs w:val="15"/>
              </w:rPr>
              <w:t xml:space="preserve">120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Interest expense</w:t>
            </w:r>
          </w:p>
        </w:tc>
        <w:tc>
          <w:tcPr>
            <w:tcW w:type="pct" w:w="2600"/>
            <w:shd w:fill="FBFAF6" w:val="clear"/>
            <w:tcMar>
              <w:top w:type="dxa" w:w="50"/>
              <w:left w:type="dxa" w:w="110"/>
              <w:bottom w:type="dxa" w:w="50"/>
              <w:right w:type="dxa" w:w="110"/>
            </w:tcMar>
          </w:tcPr>
          <w:p>
            <w:pPr>
              <w:spacing w:before="28" w:after="28"/>
            </w:pPr>
            <w:r>
              <w:rPr>
                <w:sz w:val="15"/>
                <w:szCs w:val="15"/>
              </w:rPr>
              <w:t xml:space="preserve">400</w:t>
            </w:r>
          </w:p>
        </w:tc>
      </w:tr>
      <w:tr>
        <w:tc>
          <w:tcPr>
            <w:tcW w:type="pct" w:w="2400"/>
            <w:tcMar>
              <w:top w:type="dxa" w:w="50"/>
              <w:left w:type="dxa" w:w="110"/>
              <w:bottom w:type="dxa" w:w="50"/>
              <w:right w:type="dxa" w:w="110"/>
            </w:tcMar>
          </w:tcPr>
          <w:p>
            <w:pPr>
              <w:spacing w:before="28" w:after="28"/>
            </w:pPr>
            <w:r>
              <w:rPr>
                <w:sz w:val="15"/>
                <w:szCs w:val="15"/>
              </w:rPr>
              <w:t xml:space="preserve">Dry-foods division: operating loss before tax</w:t>
            </w:r>
          </w:p>
        </w:tc>
        <w:tc>
          <w:tcPr>
            <w:tcW w:type="pct" w:w="2600"/>
            <w:tcMar>
              <w:top w:type="dxa" w:w="50"/>
              <w:left w:type="dxa" w:w="110"/>
              <w:bottom w:type="dxa" w:w="50"/>
              <w:right w:type="dxa" w:w="110"/>
            </w:tcMar>
          </w:tcPr>
          <w:p>
            <w:pPr>
              <w:spacing w:before="28" w:after="28"/>
            </w:pPr>
            <w:r>
              <w:rPr>
                <w:sz w:val="15"/>
                <w:szCs w:val="15"/>
              </w:rPr>
              <w:t xml:space="preserve">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Dry-foods division: gain on sale before tax</w:t>
            </w:r>
          </w:p>
        </w:tc>
        <w:tc>
          <w:tcPr>
            <w:tcW w:type="pct" w:w="2600"/>
            <w:shd w:fill="FBFAF6" w:val="clear"/>
            <w:tcMar>
              <w:top w:type="dxa" w:w="50"/>
              <w:left w:type="dxa" w:w="110"/>
              <w:bottom w:type="dxa" w:w="50"/>
              <w:right w:type="dxa" w:w="110"/>
            </w:tcMar>
          </w:tcPr>
          <w:p>
            <w:pPr>
              <w:spacing w:before="28" w:after="28"/>
            </w:pPr>
            <w:r>
              <w:rPr>
                <w:sz w:val="15"/>
                <w:szCs w:val="15"/>
              </w:rPr>
              <w:t xml:space="preserve">280</w:t>
            </w:r>
          </w:p>
        </w:tc>
      </w:tr>
      <w:tr>
        <w:tc>
          <w:tcPr>
            <w:tcW w:type="pct" w:w="2400"/>
            <w:tcMar>
              <w:top w:type="dxa" w:w="50"/>
              <w:left w:type="dxa" w:w="110"/>
              <w:bottom w:type="dxa" w:w="50"/>
              <w:right w:type="dxa" w:w="110"/>
            </w:tcMar>
          </w:tcPr>
          <w:p>
            <w:pPr>
              <w:spacing w:before="28" w:after="28"/>
            </w:pPr>
            <w:r>
              <w:rPr>
                <w:sz w:val="15"/>
                <w:szCs w:val="15"/>
              </w:rPr>
              <w:t xml:space="preserve">Unrealized holding gain on AFS debt securities during 2027</w:t>
            </w:r>
          </w:p>
        </w:tc>
        <w:tc>
          <w:tcPr>
            <w:tcW w:type="pct" w:w="2600"/>
            <w:tcMar>
              <w:top w:type="dxa" w:w="50"/>
              <w:left w:type="dxa" w:w="110"/>
              <w:bottom w:type="dxa" w:w="50"/>
              <w:right w:type="dxa" w:w="110"/>
            </w:tcMar>
          </w:tcPr>
          <w:p>
            <w:pPr>
              <w:spacing w:before="28" w:after="28"/>
            </w:pPr>
            <w:r>
              <w:rPr>
                <w:sz w:val="15"/>
                <w:szCs w:val="15"/>
              </w:rPr>
              <w:t xml:space="preserve">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Realized gain on AFS securities sold in 2027 (included in AOCI before)</w:t>
            </w:r>
          </w:p>
        </w:tc>
        <w:tc>
          <w:tcPr>
            <w:tcW w:type="pct" w:w="2600"/>
            <w:shd w:fill="FBFAF6" w:val="clear"/>
            <w:tcMar>
              <w:top w:type="dxa" w:w="50"/>
              <w:left w:type="dxa" w:w="110"/>
              <w:bottom w:type="dxa" w:w="50"/>
              <w:right w:type="dxa" w:w="110"/>
            </w:tcMar>
          </w:tcPr>
          <w:p>
            <w:pPr>
              <w:spacing w:before="28" w:after="28"/>
            </w:pPr>
            <w:r>
              <w:rPr>
                <w:sz w:val="15"/>
                <w:szCs w:val="15"/>
              </w:rPr>
              <w:t xml:space="preserve">24</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In 2027 Orontes sold its dry-foods division, one of its main product lines. The sale is a strategic shift with a major effect.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The tax rate is 25% on all items. The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AFS gain is already in the other income figures.</w:t>
            </w:r>
          </w:p>
        </w:tc>
      </w:tr>
      <w:tr>
        <w:tc>
          <w:tcPr>
            <w:tcW w:type="pct" w:w="2400"/>
            <w:tcMar>
              <w:top w:type="dxa" w:w="50"/>
              <w:left w:type="dxa" w:w="110"/>
              <w:bottom w:type="dxa" w:w="50"/>
              <w:right w:type="dxa" w:w="110"/>
            </w:tcMar>
          </w:tcPr>
          <w:p>
            <w:pPr>
              <w:spacing w:before="28" w:after="28"/>
            </w:pPr>
            <w:r>
              <w:rPr>
                <w:sz w:val="15"/>
                <w:szCs w:val="15"/>
              </w:rPr>
              <w:t xml:space="preserve">M3</w:t>
            </w:r>
          </w:p>
        </w:tc>
        <w:tc>
          <w:tcPr>
            <w:tcW w:type="pct" w:w="2600"/>
            <w:tcMar>
              <w:top w:type="dxa" w:w="50"/>
              <w:left w:type="dxa" w:w="110"/>
              <w:bottom w:type="dxa" w:w="50"/>
              <w:right w:type="dxa" w:w="110"/>
            </w:tcMar>
          </w:tcPr>
          <w:p>
            <w:pPr>
              <w:spacing w:before="28" w:after="28"/>
            </w:pPr>
            <w:r>
              <w:rPr>
                <w:sz w:val="15"/>
                <w:szCs w:val="15"/>
              </w:rPr>
              <w:t xml:space="preserve">Orontes presents one continuous statement of comprehensive income.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realized   ·   Item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All operations in Jordan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An old bottling machine</w:t>
            </w:r>
          </w:p>
        </w:tc>
        <w:tc>
          <w:tcPr>
            <w:tcW w:type="pct" w:w="2600"/>
            <w:shd w:fill="FBFAF6" w:val="clear"/>
            <w:tcMar>
              <w:top w:type="dxa" w:w="50"/>
              <w:left w:type="dxa" w:w="110"/>
              <w:bottom w:type="dxa" w:w="50"/>
              <w:right w:type="dxa" w:w="110"/>
            </w:tcMar>
          </w:tcPr>
          <w:p>
            <w:pPr>
              <w:spacing w:before="28" w:after="28"/>
            </w:pPr>
            <w:r>
              <w:rPr>
                <w:sz w:val="15"/>
                <w:szCs w:val="15"/>
              </w:rPr>
              <w:t xml:space="preserve">No: a single asset; the gain or loss stays in continuing operations.</w:t>
            </w:r>
          </w:p>
        </w:tc>
      </w:tr>
      <w:tr>
        <w:tc>
          <w:tcPr>
            <w:tcW w:type="pct" w:w="2400"/>
            <w:tcMar>
              <w:top w:type="dxa" w:w="50"/>
              <w:left w:type="dxa" w:w="110"/>
              <w:bottom w:type="dxa" w:w="50"/>
              <w:right w:type="dxa" w:w="110"/>
            </w:tcMar>
          </w:tcPr>
          <w:p>
            <w:pPr>
              <w:spacing w:before="28" w:after="28"/>
            </w:pPr>
            <w:r>
              <w:rPr>
                <w:sz w:val="15"/>
                <w:szCs w:val="15"/>
              </w:rPr>
              <w:t xml:space="preserve">The stake in Jordan Glass</w:t>
            </w:r>
          </w:p>
        </w:tc>
        <w:tc>
          <w:tcPr>
            <w:tcW w:type="pct" w:w="2600"/>
            <w:tcMar>
              <w:top w:type="dxa" w:w="50"/>
              <w:left w:type="dxa" w:w="110"/>
              <w:bottom w:type="dxa" w:w="50"/>
              <w:right w:type="dxa" w:w="110"/>
            </w:tcMar>
          </w:tcPr>
          <w:p>
            <w:pPr>
              <w:spacing w:before="28" w:after="28"/>
            </w:pPr>
            <w:r>
              <w:rPr>
                <w:sz w:val="15"/>
                <w:szCs w:val="15"/>
              </w:rPr>
              <w:t xml:space="preserve">Yes: a major equity-method investment.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One juice flavour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not a strategic shift.   ·   Suppose: Orontes, 2027 (USD 000)   ·   Yes: a major geographic area.</w:t>
            </w:r>
          </w:p>
        </w:tc>
      </w:tr>
    </w:tbl>
    <w:p/>
    <w:p>
      <w:pPr>
        <w:pageBreakBefore w:val="true"/>
        <w:spacing w:after="0"/>
      </w:pPr>
      <w:r>
        <w:rPr>
          <w:sz w:val="2"/>
        </w:rPr>
        <w:t xml:space="preserve"> </w:t>
      </w:r>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Dry-foods operating loss   ·   held for sale   ·   Lawsuit settlement loss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shift   ·   مكسب (مكاسب)</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Presentation and IFRS differences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including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Highly probable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Re-presented: assets and liabilities shown 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Public</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Not 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per-share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Unchanged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reclassified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extraordinary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infrequent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presented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Held-for-sale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Yes: a major geographic area.</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 not a strategic shift.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geographical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Lawsuit settlement 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revaluation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Dry-foods operating loss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Component + strategic shift with a major effect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strategic shift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results of a discontinued operation, including its operating results and any remeasurement or disposal gain or loss, are shown net of their own tax below income from continuing operations. Public companies also show per-share amounts for discontinued operations. The comparative years are reclassified so that all periods are shown on the same basis. On the balance sheet, the assets and liabilities of a discontinued operation are shown separately for all periods presented. Held-for-sale assets that are not a discontinued operation are also shown separately, but their results stay in continuing operations. Under IFRS 5, a discontinued operation must be a separate major line of business or geographical area, and earlier balance sheets are not re-presented. Some IFRS OCI items, such as a revaluation surplus, never return to profit or loss.</w:t>
      </w:r>
    </w:p>
    <w:p>
      <w:pPr>
        <w:spacing w:before="20" w:after="20"/>
        <w:ind w:left="240" w:hanging="240"/>
      </w:pPr>
      <w:r>
        <w:rPr>
          <w:b/>
          <w:bCs/>
          <w:color w:val="353A7C"/>
          <w:sz w:val="15"/>
          <w:szCs w:val="15"/>
        </w:rPr>
        <w:t xml:space="preserve">Summary 2   </w:t>
      </w:r>
      <w:r>
        <w:rPr>
          <w:color w:val="6B7280"/>
          <w:sz w:val="15"/>
          <w:szCs w:val="15"/>
        </w:rPr>
        <w:t xml:space="preserve">U.S. GAAP has no extraordinary items: unusual or infrequent items stay in continuing operations, before tax. Only discontinued operations are shown net of tax below continuing operations.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Gains and losses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Expense recognition</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Comprehensive income and reclassification</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Is it a discontinued operation?</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Held for sale: criteria and measurement</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Presentation and IFRS differences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6079310665d3ec6b15530441b6fd27cf6232cd22.png" Type="http://schemas.openxmlformats.org/officeDocument/2006/relationships/image"/><Relationship Id="rId102" Target="media/bddad0609594578a64e6333750382f2e92e755b7.png" Type="http://schemas.openxmlformats.org/officeDocument/2006/relationships/image"/><Relationship Id="rId103" Target="media/e561da45ab32e9c87b22cd6886f342742441c0ae.png" Type="http://schemas.openxmlformats.org/officeDocument/2006/relationships/image"/><Relationship Id="rId104" Target="media/ae2dba26a41940b6ec5de3f2c212931d4ef54ae6.png" Type="http://schemas.openxmlformats.org/officeDocument/2006/relationships/image"/><Relationship Id="rId105" Target="media/c553c89d2d52f2c0c9a776714575888bbc5be1c2.png" Type="http://schemas.openxmlformats.org/officeDocument/2006/relationships/image"/><Relationship Id="rId106" Target="media/e07424cc8880f51a37b74678cc36e504f49fe865.png" Type="http://schemas.openxmlformats.org/officeDocument/2006/relationships/image"/><Relationship Id="rId107" Target="media/dc312de90ae3370ba3ef85fd82246b6d00aa7e11.png" Type="http://schemas.openxmlformats.org/officeDocument/2006/relationships/image"/><Relationship Id="rId108" Target="media/50d5f7e827be402988e67ee439e88e4dea4bce3a.png" Type="http://schemas.openxmlformats.org/officeDocument/2006/relationships/image"/><Relationship Id="rId109" Target="media/f342454821d91be7a213e208467bb97976c13999.png" Type="http://schemas.openxmlformats.org/officeDocument/2006/relationships/image"/><Relationship Id="rId110" Target="media/877c10b6da609cbaf2770a1b493aa09de30203f9.png" Type="http://schemas.openxmlformats.org/officeDocument/2006/relationships/image"/><Relationship Id="rId111" Target="media/0fbd6ec4cc1e8c0c6b417dd19e0bb4363ee11812.png" Type="http://schemas.openxmlformats.org/officeDocument/2006/relationships/image"/><Relationship Id="rId112" Target="media/87a4b42a7c8b3e646c6e678379b69c1bab8e476e.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15</dc:title>
  <dc:subject>Summary handouts</dc:subject>
  <cp:category>Student Book</cp:category>
</cp:coreProperties>
</file>