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How much does it cost to serve Barada? Each question needs a different cost object. </w:t>
      </w:r>
      <w:r>
        <w:rPr>
          <w:sz w:val="19"/>
          <w:szCs w:val="19"/>
        </w:rPr>
        <w:t xml:space="preserve">The same cost can be treated differently for different cost objects.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product   ·   Wholesale   ·   profitable   ·   private-label   ·   Managers   ·   questions   ·   anything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 The same cost can be treated differently for different cost objects.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it must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inventory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allocated   ·   cannot   ·   supervisor   ·   administrative   ·   Product   ·   traced   ·   classification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Notice that supervision,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the Quality Lab charge are product costs but indirect: they reach the job only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Barada is a period cost, even though it relates to a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Delivery   ·   through   ·   depreciation</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14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146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Quality Lab charge to the division   ·   Wages of operators working on job T-0303   ·   Delivery of goods to Barada   ·   Cleaning chemicals for the factory   ·   Jars and labels for job T-0303   ·   Factory supervisor's salary</w:t>
            </w:r>
          </w:p>
        </w:tc>
      </w:tr>
    </w:tbl>
    <w:p/>
    <w:p>
      <w:pPr>
        <w:pageBreakBefore w:val="true"/>
        <w:spacing w:after="0"/>
      </w:pPr>
      <w:r>
        <w:rPr>
          <w:sz w:val="2"/>
        </w:rPr>
        <w:t xml:space="preserve"> </w:t>
      </w:r>
    </w:p>
    <w:p>
      <w:pPr>
        <w:spacing w:before="20" w:after="20" w:line="360" w:lineRule="auto"/>
        <w:ind w:left="200"/>
      </w:pPr>
      <w:r>
        <w:rPr>
          <w:sz w:val="19"/>
          <w:szCs w:val="19"/>
        </w:rPr>
        <w:t xml:space="preserve">It is not the U.S. product cost used for inventory.</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Jars and labels for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Quality Lab charge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prime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pacing w:before="20" w:after="20"/>
        <w:ind w:left="240" w:hanging="240"/>
      </w:pPr>
      <w:r>
        <w:rPr>
          <w:b/>
          <w:bCs/>
          <w:color w:val="353A7C"/>
          <w:sz w:val="15"/>
          <w:szCs w:val="15"/>
        </w:rPr>
        <w:t xml:space="preserve">Summary 2   </w:t>
      </w:r>
      <w:r>
        <w:rPr>
          <w:color w:val="6B7280"/>
          <w:sz w:val="15"/>
          <w:szCs w:val="15"/>
        </w:rPr>
        <w:t xml:space="preserve">Notice that supervision, depreciation and the Quality Lab charge are product costs but indirect: they reach the job only through overhead. Delivery to Barada is a period cost, even though it relates to a sale.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assigned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together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recipe needs a setup, so the number of setups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setup costs. </w:t>
      </w:r>
      <w:r>
        <w:rPr>
          <w:sz w:val="19"/>
          <w:szCs w:val="19"/>
        </w:rPr>
        <w:t xml:space="preserve">The link must be causal. </w:t>
      </w:r>
      <w:r>
        <w:rPr>
          <w:sz w:val="19"/>
          <w:szCs w:val="19"/>
        </w:rPr>
        <w:t xml:space="preserve">Sales revenue may move with factory power costs,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at higher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does not cause more power use. </w:t>
      </w:r>
      <w:r>
        <w:rPr>
          <w:sz w:val="19"/>
          <w:szCs w:val="19"/>
        </w:rPr>
        <w:t xml:space="preserve">A driver chosen only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levels. </w:t>
      </w:r>
      <w:r>
        <w:rPr>
          <w:sz w:val="19"/>
          <w:szCs w:val="19"/>
        </w:rPr>
        <w:t xml:space="preserve">A volume-based cost driver rises with each unit or hour. </w:t>
      </w:r>
      <w:r>
        <w:rPr>
          <w:sz w:val="19"/>
          <w:szCs w:val="19"/>
        </w:rPr>
        <w:t xml:space="preserve">Other drivers rise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different   ·   drives   ·   selling   ·   batches   ·   maintenance   ·   facility   ·   factor   ·   conditions   ·   sesame   ·   prices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01"/>
        <w:gridCol w:w="2066"/>
        <w:gridCol w:w="2681"/>
        <w:gridCol w:w="285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1042"/>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1076"/>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397"/>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485"/>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1042"/>
            <w:tcMar>
              <w:top w:type="dxa" w:w="50"/>
              <w:left w:type="dxa" w:w="110"/>
              <w:bottom w:type="dxa" w:w="50"/>
              <w:right w:type="dxa" w:w="110"/>
            </w:tcMar>
          </w:tcPr>
          <w:p>
            <w:pPr>
              <w:spacing w:before="28" w:after="28"/>
            </w:pPr>
            <w:r>
              <w:rPr>
                <w:sz w:val="15"/>
                <w:szCs w:val="15"/>
              </w:rPr>
              <w:t xml:space="preserve">Volume-based (unit level)</w:t>
            </w:r>
          </w:p>
        </w:tc>
        <w:tc>
          <w:tcPr>
            <w:tcW w:type="pct" w:w="1076"/>
            <w:tcMar>
              <w:top w:type="dxa" w:w="50"/>
              <w:left w:type="dxa" w:w="110"/>
              <w:bottom w:type="dxa" w:w="50"/>
              <w:right w:type="dxa" w:w="110"/>
            </w:tcMar>
          </w:tcPr>
          <w:p>
            <w:pPr>
              <w:spacing w:before="28" w:after="28"/>
            </w:pPr>
            <w:r>
              <w:rPr>
                <w:sz w:val="15"/>
                <w:szCs w:val="15"/>
              </w:rPr>
              <w:t xml:space="preserve">Rises with each unit or hour</w:t>
            </w:r>
          </w:p>
        </w:tc>
        <w:tc>
          <w:tcPr>
            <w:tcW w:type="pct" w:w="13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85"/>
            <w:tcMar>
              <w:top w:type="dxa" w:w="50"/>
              <w:left w:type="dxa" w:w="110"/>
              <w:bottom w:type="dxa" w:w="50"/>
              <w:right w:type="dxa" w:w="110"/>
            </w:tcMar>
          </w:tcPr>
          <w:p>
            <w:pPr>
              <w:spacing w:before="28" w:after="28"/>
            </w:pPr>
            <w:r>
              <w:rPr>
                <w:sz w:val="15"/>
                <w:szCs w:val="15"/>
              </w:rPr>
              <w:t xml:space="preserve">Strong for machine and energy costs</w:t>
            </w:r>
          </w:p>
        </w:tc>
      </w:tr>
      <w:tr>
        <w:tc>
          <w:tcPr>
            <w:tcW w:type="pct" w:w="1042"/>
            <w:shd w:fill="FBFAF6" w:val="clear"/>
            <w:tcMar>
              <w:top w:type="dxa" w:w="50"/>
              <w:left w:type="dxa" w:w="110"/>
              <w:bottom w:type="dxa" w:w="50"/>
              <w:right w:type="dxa" w:w="110"/>
            </w:tcMar>
          </w:tcPr>
          <w:p>
            <w:pPr>
              <w:spacing w:before="28" w:after="28"/>
            </w:pPr>
            <w:r>
              <w:rPr>
                <w:sz w:val="15"/>
                <w:szCs w:val="15"/>
              </w:rPr>
              <w:t xml:space="preserve">Batch level</w:t>
            </w:r>
          </w:p>
        </w:tc>
        <w:tc>
          <w:tcPr>
            <w:tcW w:type="pct" w:w="10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97"/>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485"/>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1042"/>
            <w:tcMar>
              <w:top w:type="dxa" w:w="50"/>
              <w:left w:type="dxa" w:w="110"/>
              <w:bottom w:type="dxa" w:w="50"/>
              <w:right w:type="dxa" w:w="110"/>
            </w:tcMar>
          </w:tcPr>
          <w:p>
            <w:pPr>
              <w:spacing w:before="28" w:after="28"/>
            </w:pPr>
            <w:r>
              <w:rPr>
                <w:sz w:val="15"/>
                <w:szCs w:val="15"/>
              </w:rPr>
              <w:t xml:space="preserve">Product-sustaining</w:t>
            </w:r>
          </w:p>
        </w:tc>
        <w:tc>
          <w:tcPr>
            <w:tcW w:type="pct" w:w="107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97"/>
            <w:tcMar>
              <w:top w:type="dxa" w:w="50"/>
              <w:left w:type="dxa" w:w="110"/>
              <w:bottom w:type="dxa" w:w="50"/>
              <w:right w:type="dxa" w:w="110"/>
            </w:tcMar>
          </w:tcPr>
          <w:p>
            <w:pPr>
              <w:spacing w:before="28" w:after="28"/>
            </w:pPr>
            <w:r>
              <w:rPr>
                <w:sz w:val="15"/>
                <w:szCs w:val="15"/>
              </w:rPr>
              <w:t xml:space="preserve">Number of private-label recipes</w:t>
            </w:r>
          </w:p>
        </w:tc>
        <w:tc>
          <w:tcPr>
            <w:tcW w:type="pct" w:w="1485"/>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1042"/>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1076"/>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397"/>
            <w:shd w:fill="FBFAF6" w:val="clear"/>
            <w:tcMar>
              <w:top w:type="dxa" w:w="50"/>
              <w:left w:type="dxa" w:w="110"/>
              <w:bottom w:type="dxa" w:w="50"/>
              <w:right w:type="dxa" w:w="110"/>
            </w:tcMar>
          </w:tcPr>
          <w:p>
            <w:pPr>
              <w:spacing w:before="28" w:after="28"/>
            </w:pPr>
            <w:r>
              <w:rPr>
                <w:sz w:val="15"/>
                <w:szCs w:val="15"/>
              </w:rPr>
              <w:t xml:space="preserve">Square meters of factory space</w:t>
            </w:r>
          </w:p>
        </w:tc>
        <w:tc>
          <w:tcPr>
            <w:tcW w:type="pct" w:w="1485"/>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in grinding; direct labor hours   ·   Strong for setup and cleaning costs   ·   Rises with the number of products   ·   Rises with each batch or order   ·   Weak: an allocation, not a 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 hours in grinding;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drives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Weak: an allocation, not a 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system answers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How is cost measured: at actual amounts,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or at standard? And how is cost collected: by job, by process, by activity.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measured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costing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Whatever the method,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20" w:after="20" w:line="360" w:lineRule="auto"/>
        <w:ind w:left="200"/>
      </w:pPr>
      <w:r>
        <w:rPr>
          <w:sz w:val="19"/>
          <w:szCs w:val="19"/>
        </w:rPr>
        <w:t xml:space="preserve">The first two are done. Classify the rest, with one batch as the cost object.</w:t>
      </w:r>
    </w:p>
    <w:p>
      <w:pPr>
        <w:pageBreakBefore w:val="true"/>
        <w:spacing w:after="0"/>
      </w:pPr>
      <w:r>
        <w:rPr>
          <w:sz w:val="2"/>
        </w:rPr>
        <w:t xml:space="preserve"> </w:t>
      </w:r>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Maintenance of the halva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system answers two questions. How is cost measured: at actual amounts, with a predetermined overhead rate, or at standard? And how is cost collected: by job, by process, by activity.</w:t>
      </w:r>
    </w:p>
    <w:p>
      <w:pPr>
        <w:spacing w:before="20" w:after="20"/>
        <w:ind w:left="240" w:hanging="240"/>
      </w:pPr>
      <w:r>
        <w:rPr>
          <w:b/>
          <w:bCs/>
          <w:color w:val="353A7C"/>
          <w:sz w:val="15"/>
          <w:szCs w:val="15"/>
        </w:rPr>
        <w:t xml:space="preserve">Summary 2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accounts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often ask for cost of goods manufactured or cost of goods sold. </w:t>
      </w:r>
      <w:r>
        <w:rPr>
          <w:sz w:val="19"/>
          <w:szCs w:val="19"/>
        </w:rPr>
        <w:t xml:space="preserve">The entries are for depth. </w:t>
      </w:r>
      <w:r>
        <w:rPr>
          <w:sz w:val="19"/>
          <w:szCs w:val="19"/>
        </w:rPr>
        <w:t xml:space="preserve">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 2027 Tahini &amp; Spreads held raw materials of $130,000, work in process of $180,000 and finished goods of $420,000. </w:t>
      </w:r>
      <w:r>
        <w:rPr>
          <w:sz w:val="19"/>
          <w:szCs w:val="19"/>
        </w:rPr>
        <w:t xml:space="preserve">Materials: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depreciation $840,000; utilities and other costs $740,000. </w:t>
      </w:r>
      <w:r>
        <w:rPr>
          <w:sz w:val="19"/>
          <w:szCs w:val="19"/>
        </w:rPr>
        <w:t xml:space="preserve">Overhead applied: 92,000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hours × $30 = $2,760,000. </w:t>
      </w:r>
      <w:r>
        <w:rPr>
          <w:sz w:val="19"/>
          <w:szCs w:val="19"/>
        </w:rPr>
        <w:t xml:space="preserve">Year-end balances: work in process $690,000; finished goods $1,380,000. </w:t>
      </w:r>
      <w:r>
        <w:rPr>
          <w:sz w:val="19"/>
          <w:szCs w:val="19"/>
        </w:rPr>
        <w:t xml:space="preserve">Sales and period costs: sales $8,700,000; selling expense $610,000; administrative expense $390,000.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follows   ·   prepare   ·   Record   ·   machine   ·   schedules   ·   purchases   ·   expense   ·   January   ·   through   ·   division's   ·   Separate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Total manufacturing costs = $3,000,000 + $1,800,000 + $2,760,000 = $7,560,000. </w:t>
      </w:r>
      <w:r>
        <w:rPr>
          <w:sz w:val="19"/>
          <w:szCs w:val="19"/>
        </w:rPr>
        <w:t xml:space="preserve">Cost of goods manufactured = $180,000 + $7,560,000 − $690,000 = $7,050,000. </w:t>
      </w:r>
      <w:r>
        <w:rPr>
          <w:sz w:val="19"/>
          <w:szCs w:val="19"/>
        </w:rPr>
        <w:t xml:space="preserve">Cost of goods sold = $420,000 + $7,050,000 − $1,380,000 = $6,090,000. </w:t>
      </w:r>
      <w:r>
        <w:rPr>
          <w:sz w:val="19"/>
          <w:szCs w:val="19"/>
        </w:rPr>
        <w:t xml:space="preserve">Actual overhead = $240,000 + $480,000 + $2,270,000 = $2,990,000, so overhead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by $230,000. </w:t>
      </w:r>
      <w:r>
        <w:rPr>
          <w:sz w:val="19"/>
          <w:szCs w:val="19"/>
        </w:rPr>
        <w:t xml:space="preserve">Entries 1 to 8 are product costs; entry 9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period costs, which never touch inventory.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totals $36,650,000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division's   ·   records   ·   underapplied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tcMar>
              <w:top w:type="dxa" w:w="50"/>
              <w:left w:type="dxa" w:w="110"/>
              <w:bottom w:type="dxa" w:w="50"/>
              <w:right w:type="dxa" w:w="110"/>
            </w:tcMar>
          </w:tcPr>
          <w:p>
            <w:pPr>
              <w:spacing w:before="28" w:after="28"/>
            </w:pPr>
            <w:r>
              <w:rPr>
                <w:sz w:val="15"/>
                <w:szCs w:val="15"/>
              </w:rPr>
              <w:t xml:space="preserve">Selling Expense</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Administrative Expense</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Accounts Receivable   ·   Manufacturing Overhead Control   ·   Work-in-Process Inventory   ·   Indirect; product cost   ·   Finished Goods Inventory   ·   Cash and Payables</w:t>
            </w:r>
          </w:p>
        </w:tc>
      </w:tr>
    </w:tbl>
    <w:p/>
    <w:p>
      <w:pPr>
        <w:spacing w:before="20" w:after="20" w:line="360" w:lineRule="auto"/>
        <w:ind w:left="200"/>
      </w:pPr>
      <w:r>
        <w:rPr>
          <w:sz w:val="19"/>
          <w:szCs w:val="19"/>
        </w:rPr>
        <w:t xml:space="preserve">Raw materials close at $150,000, work in process at $690,000 and finished goods at $1,380,000.</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cost of goods manufactured, cost of goods sold and operating income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FY2027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Direct materials used</w:t>
            </w:r>
          </w:p>
        </w:tc>
        <w:tc>
          <w:tcPr>
            <w:tcW w:type="pct" w:w="2400"/>
            <w:tcMar>
              <w:top w:type="dxa" w:w="50"/>
              <w:left w:type="dxa" w:w="110"/>
              <w:bottom w:type="dxa" w:w="50"/>
              <w:right w:type="dxa" w:w="110"/>
            </w:tcMar>
          </w:tcPr>
          <w:p>
            <w:pPr>
              <w:spacing w:before="28" w:after="28"/>
            </w:pPr>
            <w:r>
              <w:rPr>
                <w:sz w:val="15"/>
                <w:szCs w:val="15"/>
              </w:rPr>
              <w:t xml:space="preserve">3,000,000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240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2600"/>
            <w:tcMar>
              <w:top w:type="dxa" w:w="50"/>
              <w:left w:type="dxa" w:w="110"/>
              <w:bottom w:type="dxa" w:w="50"/>
              <w:right w:type="dxa" w:w="110"/>
            </w:tcMar>
          </w:tcPr>
          <w:p>
            <w:pPr>
              <w:spacing w:before="28" w:after="28"/>
            </w:pPr>
            <w:r>
              <w:rPr>
                <w:sz w:val="15"/>
                <w:szCs w:val="15"/>
              </w:rPr>
              <w:t xml:space="preserve">Manufacturing overhead applied</w:t>
            </w:r>
          </w:p>
        </w:tc>
        <w:tc>
          <w:tcPr>
            <w:tcW w:type="pct" w:w="2400"/>
            <w:tcMar>
              <w:top w:type="dxa" w:w="50"/>
              <w:left w:type="dxa" w:w="110"/>
              <w:bottom w:type="dxa" w:w="50"/>
              <w:right w:type="dxa" w:w="110"/>
            </w:tcMar>
          </w:tcPr>
          <w:p>
            <w:pPr>
              <w:spacing w:before="28" w:after="28"/>
            </w:pPr>
            <w:r>
              <w:rPr>
                <w:sz w:val="15"/>
                <w:szCs w:val="15"/>
              </w:rPr>
              <w:t xml:space="preserve">2,760,000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manufacturing costs</w:t>
            </w:r>
          </w:p>
        </w:tc>
        <w:tc>
          <w:tcPr>
            <w:tcW w:type="pct" w:w="2400"/>
            <w:shd w:fill="FBFAF6" w:val="clear"/>
            <w:tcMar>
              <w:top w:type="dxa" w:w="50"/>
              <w:left w:type="dxa" w:w="110"/>
              <w:bottom w:type="dxa" w:w="50"/>
              <w:right w:type="dxa" w:w="110"/>
            </w:tcMar>
          </w:tcPr>
          <w:p>
            <w:pPr>
              <w:spacing w:before="28" w:after="28"/>
            </w:pPr>
            <w:r>
              <w:rPr>
                <w:sz w:val="15"/>
                <w:szCs w:val="15"/>
              </w:rPr>
              <w:t xml:space="preserve">7,560,000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Less: ending WIP</w:t>
            </w:r>
          </w:p>
        </w:tc>
        <w:tc>
          <w:tcPr>
            <w:tcW w:type="pct" w:w="2400"/>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2600"/>
            <w:tcMar>
              <w:top w:type="dxa" w:w="50"/>
              <w:left w:type="dxa" w:w="110"/>
              <w:bottom w:type="dxa" w:w="50"/>
              <w:right w:type="dxa" w:w="110"/>
            </w:tcMar>
          </w:tcPr>
          <w:p>
            <w:pPr>
              <w:spacing w:before="28" w:after="28"/>
            </w:pPr>
            <w:r>
              <w:rPr>
                <w:sz w:val="15"/>
                <w:szCs w:val="15"/>
              </w:rPr>
              <w:t xml:space="preserve">Cost of goods manufactured</w:t>
            </w:r>
          </w:p>
        </w:tc>
        <w:tc>
          <w:tcPr>
            <w:tcW w:type="pct" w:w="2400"/>
            <w:tcMar>
              <w:top w:type="dxa" w:w="50"/>
              <w:left w:type="dxa" w:w="110"/>
              <w:bottom w:type="dxa" w:w="50"/>
              <w:right w:type="dxa" w:w="110"/>
            </w:tcMar>
          </w:tcPr>
          <w:p>
            <w:pPr>
              <w:spacing w:before="28" w:after="28"/>
            </w:pPr>
            <w:r>
              <w:rPr>
                <w:sz w:val="15"/>
                <w:szCs w:val="15"/>
              </w:rPr>
              <w:t xml:space="preserve">7,050,000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beginning finished goods</w:t>
            </w:r>
          </w:p>
        </w:tc>
        <w:tc>
          <w:tcPr>
            <w:tcW w:type="pct" w:w="2400"/>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600"/>
            <w:tcMar>
              <w:top w:type="dxa" w:w="50"/>
              <w:left w:type="dxa" w:w="110"/>
              <w:bottom w:type="dxa" w:w="50"/>
              <w:right w:type="dxa" w:w="110"/>
            </w:tcMar>
          </w:tcPr>
          <w:p>
            <w:pPr>
              <w:spacing w:before="28" w:after="28"/>
            </w:pPr>
            <w:r>
              <w:rPr>
                <w:sz w:val="15"/>
                <w:szCs w:val="15"/>
              </w:rPr>
              <w:t xml:space="preserve">Less: ending finished goods</w:t>
            </w:r>
          </w:p>
        </w:tc>
        <w:tc>
          <w:tcPr>
            <w:tcW w:type="pct" w:w="2400"/>
            <w:tcMar>
              <w:top w:type="dxa" w:w="50"/>
              <w:left w:type="dxa" w:w="110"/>
              <w:bottom w:type="dxa" w:w="50"/>
              <w:right w:type="dxa" w:w="110"/>
            </w:tcMar>
          </w:tcPr>
          <w:p>
            <w:pPr>
              <w:spacing w:before="28" w:after="28"/>
            </w:pPr>
            <w:r>
              <w:rPr>
                <w:sz w:val="15"/>
                <w:szCs w:val="15"/>
              </w:rPr>
              <w:t xml:space="preserve">(1,380,000)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8,700,000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2,610,000</w:t>
            </w:r>
          </w:p>
        </w:tc>
      </w:tr>
      <w:tr>
        <w:tc>
          <w:tcPr>
            <w:tcW w:type="pct" w:w="2600"/>
            <w:tcMar>
              <w:top w:type="dxa" w:w="50"/>
              <w:left w:type="dxa" w:w="110"/>
              <w:bottom w:type="dxa" w:w="50"/>
              <w:right w:type="dxa" w:w="110"/>
            </w:tcMar>
          </w:tcPr>
          <w:p>
            <w:pPr>
              <w:spacing w:before="28" w:after="28"/>
            </w:pPr>
            <w:r>
              <w:rPr>
                <w:sz w:val="15"/>
                <w:szCs w:val="15"/>
              </w:rPr>
              <w:t xml:space="preserve">Selling expense</w:t>
            </w:r>
          </w:p>
        </w:tc>
        <w:tc>
          <w:tcPr>
            <w:tcW w:type="pct" w:w="2400"/>
            <w:tcMar>
              <w:top w:type="dxa" w:w="50"/>
              <w:left w:type="dxa" w:w="110"/>
              <w:bottom w:type="dxa" w:w="50"/>
              <w:right w:type="dxa" w:w="110"/>
            </w:tcMar>
          </w:tcPr>
          <w:p>
            <w:pPr>
              <w:spacing w:before="28" w:after="28"/>
            </w:pPr>
            <w:r>
              <w:rPr>
                <w:sz w:val="15"/>
                <w:szCs w:val="15"/>
              </w:rPr>
              <w:t xml:space="preserve">(610,000)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Administrative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1,610,000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margin   ·   Cost of goods sold (before year-end overhead adjustment)   ·   Administrative Expense   ·   Divisional operating income   ·   Add: beginning WIP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28–31</w:t>
      </w:r>
    </w:p>
    <w:p>
      <w:pPr>
        <w:spacing w:before="20" w:after="20" w:line="360" w:lineRule="auto"/>
        <w:ind w:left="200"/>
      </w:pPr>
      <w:r>
        <w:rPr>
          <w:sz w:val="19"/>
          <w:szCs w:val="19"/>
        </w:rPr>
        <w:t xml:space="preserve">Total debits = total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Ending   ·   credits   ·   overhead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32–33</w:t>
      </w:r>
    </w:p>
    <w:p>
      <w:pPr>
        <w:spacing w:before="20" w:after="20" w:line="360" w:lineRule="auto"/>
        <w:ind w:left="200"/>
      </w:pPr>
      <w:r>
        <w:rPr>
          <w:sz w:val="19"/>
          <w:szCs w:val="19"/>
        </w:rPr>
        <w:t xml:space="preserve">Expect a list of costs and inventory balances, and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for cost of goods manufactured or cost of goods sold. </w:t>
      </w:r>
      <w:r>
        <w:rPr>
          <w:sz w:val="19"/>
          <w:szCs w:val="19"/>
        </w:rPr>
        <w:t xml:space="preserve">Sort product from period costs first; then apply the two schedule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entries   ·   formulas   ·   request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(36)</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Depreciation of halva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Advertising</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to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Sugar and flavors   ·   Factory supervision   ·   Finished goods: beginning / ending   ·   Jars   ·   Factory utilities   ·   allocation base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tcMar>
              <w:top w:type="dxa" w:w="50"/>
              <w:left w:type="dxa" w:w="110"/>
              <w:bottom w:type="dxa" w:w="50"/>
              <w:right w:type="dxa" w:w="110"/>
            </w:tcMar>
          </w:tcPr>
          <w:p>
            <w:pPr>
              <w:spacing w:before="28" w:after="28"/>
            </w:pPr>
            <w:r>
              <w:rPr>
                <w:sz w:val="15"/>
                <w:szCs w:val="15"/>
              </w:rPr>
              <w:t xml:space="preserve">Indirect; product cost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FY2027   ·   Not a production cost; period cost   ·   Direct; product cost</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utilities   ·   cost driver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and Payables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 beginning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goods sold (before year-end overhead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Divisional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Sugar and flavors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Factory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Finished goods: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period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On January 1, 2027 Tahini &amp; Spreads held raw materials of $130,000, work in process of $180,000 and finished goods of $420,000.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w:t>
      </w:r>
    </w:p>
    <w:p>
      <w:pPr>
        <w:spacing w:before="20" w:after="20"/>
        <w:ind w:left="240" w:hanging="240"/>
      </w:pPr>
      <w:r>
        <w:rPr>
          <w:b/>
          <w:bCs/>
          <w:color w:val="353A7C"/>
          <w:sz w:val="15"/>
          <w:szCs w:val="15"/>
        </w:rPr>
        <w:t xml:space="preserve">Summary 2   </w:t>
      </w:r>
      <w:r>
        <w:rPr>
          <w:color w:val="6B7280"/>
          <w:sz w:val="15"/>
          <w:szCs w:val="15"/>
        </w:rPr>
        <w:t xml:space="preserve">Total manufacturing costs = $3,000,000 + $1,800,000 + $2,760,000 = $7,560,000. Cost of goods manufactured = $180,000 + $7,560,000 − $690,000 = $7,050,000. Cost of goods sold = $420,000 + $7,050,000 − $1,380,000 = $6,090,000. Actual overhead = $240,000 + $480,000 + $2,270,000 = $2,990,000, so overhead is underapplied by $230,000. Entries 1 to 8 are product costs; entry 9 records the period costs, which never touch inventory. The journal totals $36,650,000 on both sides.</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2f54c90a5f6800cb47db545363d93e0df16454e6.png" Type="http://schemas.openxmlformats.org/officeDocument/2006/relationships/image"/><Relationship Id="rId103" Target="media/de98877cb94889118844d249c36fbbab37014740.png" Type="http://schemas.openxmlformats.org/officeDocument/2006/relationships/image"/><Relationship Id="rId104" Target="media/6917f5753819562aa2b6ce2aa589f232b0014b49.png" Type="http://schemas.openxmlformats.org/officeDocument/2006/relationships/image"/><Relationship Id="rId105" Target="media/929f8b0780df0bddbbdbe796f33aa70eb508dc55.png" Type="http://schemas.openxmlformats.org/officeDocument/2006/relationships/image"/><Relationship Id="rId106" Target="media/20746cacf5b825752df123faee3523193e5cc704.png" Type="http://schemas.openxmlformats.org/officeDocument/2006/relationships/image"/><Relationship Id="rId107" Target="media/34a0e33e65511506c3d0d57407bde53afcf4b8b2.png" Type="http://schemas.openxmlformats.org/officeDocument/2006/relationships/image"/><Relationship Id="rId108" Target="media/44dbacd90a82f2212c379ace77d723ae6535a4f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dc:title>
  <dc:subject>Summary handouts</dc:subject>
  <cp:category>Student Book</cp:category>
</cp:coreProperties>
</file>