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8.1  Plantwide, departmental and cost-driver rates</w:t>
            </w:r>
          </w:p>
          <w:p>
            <w:pPr>
              <w:spacing w:before="0" w:after="46"/>
            </w:pPr>
            <w:r>
              <w:rPr>
                <w:color w:val="E8EAF6"/>
                <w:sz w:val="16"/>
                <w:szCs w:val="16"/>
              </w:rPr>
              <w:t xml:space="preserve">Chapter 8 · section 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Plantwide, departmental and cost-driver rates   ·   Extended Example 8A: Tahini &amp; Spreads closes 2   ·   Closing the difference at year-end   ·   Why overhead is over- or under-applied</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A plantwide overhead rate, also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corporate-wide rate, uses one rate and one base for all overhead. </w:t>
      </w:r>
      <w:r>
        <w:rPr>
          <w:sz w:val="19"/>
          <w:szCs w:val="19"/>
        </w:rPr>
        <w:t xml:space="preserve">A departmental overhead rate gives each department its own rate and base. </w:t>
      </w:r>
      <w:r>
        <w:rPr>
          <w:sz w:val="19"/>
          <w:szCs w:val="19"/>
        </w:rPr>
        <w:t xml:space="preserve">Individual cost-driver rates go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 a rate for each activity; that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costing. </w:t>
      </w:r>
      <w:r>
        <w:rPr>
          <w:sz w:val="19"/>
          <w:szCs w:val="19"/>
        </w:rPr>
        <w:t xml:space="preserve">Tahini &amp;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has two departments. </w:t>
      </w:r>
      <w:r>
        <w:rPr>
          <w:sz w:val="19"/>
          <w:szCs w:val="19"/>
        </w:rPr>
        <w:t xml:space="preserve">Grinding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packing is labor-heavy. </w:t>
      </w:r>
      <w:r>
        <w:rPr>
          <w:sz w:val="19"/>
          <w:szCs w:val="19"/>
        </w:rPr>
        <w:t xml:space="preserve">Its plantwide rate of $30 per machine hour ignores that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   ·   similar   ·   Spreads   ·   further   ·   called   ·   machine-heavy   ·   activity-based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69"/>
        <w:gridCol w:w="3675"/>
        <w:gridCol w:w="1091"/>
        <w:gridCol w:w="216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Plantwide, departmental and cost-driver rates</w:t>
            </w:r>
          </w:p>
        </w:tc>
      </w:tr>
      <w:tr>
        <w:tc>
          <w:tcPr>
            <w:tcW w:type="pct" w:w="1390"/>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1914"/>
            <w:shd w:fill="353A7C" w:val="clear"/>
            <w:tcMar>
              <w:top w:type="dxa" w:w="50"/>
              <w:left w:type="dxa" w:w="110"/>
              <w:bottom w:type="dxa" w:w="50"/>
              <w:right w:type="dxa" w:w="110"/>
            </w:tcMar>
          </w:tcPr>
          <w:p>
            <w:pPr>
              <w:spacing w:before="30" w:after="30"/>
            </w:pPr>
            <w:r>
              <w:rPr>
                <w:b/>
                <w:bCs/>
                <w:color w:val="FFFFFF"/>
                <w:sz w:val="15"/>
                <w:szCs w:val="15"/>
              </w:rPr>
              <w:t xml:space="preserve">How</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1127"/>
            <w:shd w:fill="353A7C" w:val="clear"/>
            <w:tcMar>
              <w:top w:type="dxa" w:w="50"/>
              <w:left w:type="dxa" w:w="110"/>
              <w:bottom w:type="dxa" w:w="50"/>
              <w:right w:type="dxa" w:w="110"/>
            </w:tcMar>
          </w:tcPr>
          <w:p>
            <w:pPr>
              <w:spacing w:before="30" w:after="30"/>
            </w:pPr>
            <w:r>
              <w:rPr>
                <w:b/>
                <w:bCs/>
                <w:color w:val="FFFFFF"/>
                <w:sz w:val="15"/>
                <w:szCs w:val="15"/>
              </w:rPr>
              <w:t xml:space="preserve">Limitation</w:t>
            </w:r>
          </w:p>
        </w:tc>
      </w:tr>
      <w:tr>
        <w:tc>
          <w:tcPr>
            <w:tcW w:type="pct" w:w="1390"/>
            <w:tcMar>
              <w:top w:type="dxa" w:w="50"/>
              <w:left w:type="dxa" w:w="110"/>
              <w:bottom w:type="dxa" w:w="50"/>
              <w:right w:type="dxa" w:w="110"/>
            </w:tcMar>
          </w:tcPr>
          <w:p>
            <w:pPr>
              <w:spacing w:before="28" w:after="28"/>
            </w:pPr>
            <w:r>
              <w:rPr>
                <w:sz w:val="15"/>
                <w:szCs w:val="15"/>
              </w:rPr>
              <w:t xml:space="preserve">Plantwide (corporate-wide) rate</w:t>
            </w:r>
          </w:p>
        </w:tc>
        <w:tc>
          <w:tcPr>
            <w:tcW w:type="pct" w:w="1914"/>
            <w:tcMar>
              <w:top w:type="dxa" w:w="50"/>
              <w:left w:type="dxa" w:w="110"/>
              <w:bottom w:type="dxa" w:w="50"/>
              <w:right w:type="dxa" w:w="110"/>
            </w:tcMar>
          </w:tcPr>
          <w:p>
            <w:pPr>
              <w:spacing w:before="28" w:after="28"/>
            </w:pPr>
            <w:r>
              <w:rPr>
                <w:sz w:val="15"/>
                <w:szCs w:val="15"/>
              </w:rPr>
              <w:t xml:space="preserve">One rate, one base for all overhead</w:t>
            </w:r>
          </w:p>
        </w:tc>
        <w:tc>
          <w:tcPr>
            <w:tcW w:type="pct" w:w="568"/>
            <w:tcMar>
              <w:top w:type="dxa" w:w="50"/>
              <w:left w:type="dxa" w:w="110"/>
              <w:bottom w:type="dxa" w:w="50"/>
              <w:right w:type="dxa" w:w="110"/>
            </w:tcMar>
          </w:tcPr>
          <w:p>
            <w:pPr>
              <w:spacing w:before="28" w:after="28"/>
            </w:pPr>
            <w:r>
              <w:rPr>
                <w:sz w:val="15"/>
                <w:szCs w:val="15"/>
              </w:rPr>
              <w:t xml:space="preserve">Simple, cheap</w:t>
            </w:r>
          </w:p>
        </w:tc>
        <w:tc>
          <w:tcPr>
            <w:tcW w:type="pct" w:w="1127"/>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1390"/>
            <w:shd w:fill="FBFAF6" w:val="clear"/>
            <w:tcMar>
              <w:top w:type="dxa" w:w="50"/>
              <w:left w:type="dxa" w:w="110"/>
              <w:bottom w:type="dxa" w:w="50"/>
              <w:right w:type="dxa" w:w="110"/>
            </w:tcMar>
          </w:tcPr>
          <w:p>
            <w:pPr>
              <w:spacing w:before="28" w:after="28"/>
            </w:pPr>
            <w:r>
              <w:rPr>
                <w:sz w:val="15"/>
                <w:szCs w:val="15"/>
              </w:rPr>
              <w:t xml:space="preserve">Departmental rates</w:t>
            </w:r>
          </w:p>
        </w:tc>
        <w:tc>
          <w:tcPr>
            <w:tcW w:type="pct" w:w="1914"/>
            <w:shd w:fill="FBFAF6" w:val="clear"/>
            <w:tcMar>
              <w:top w:type="dxa" w:w="50"/>
              <w:left w:type="dxa" w:w="110"/>
              <w:bottom w:type="dxa" w:w="50"/>
              <w:right w:type="dxa" w:w="110"/>
            </w:tcMar>
          </w:tcPr>
          <w:p>
            <w:pPr>
              <w:spacing w:before="28" w:after="28"/>
            </w:pPr>
            <w:r>
              <w:rPr>
                <w:sz w:val="15"/>
                <w:szCs w:val="15"/>
              </w:rPr>
              <w:t xml:space="preserve">A rate and base for each department</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27"/>
            <w:shd w:fill="FBFAF6" w:val="clear"/>
            <w:tcMar>
              <w:top w:type="dxa" w:w="50"/>
              <w:left w:type="dxa" w:w="110"/>
              <w:bottom w:type="dxa" w:w="50"/>
              <w:right w:type="dxa" w:w="110"/>
            </w:tcMar>
          </w:tcPr>
          <w:p>
            <w:pPr>
              <w:spacing w:before="28" w:after="28"/>
            </w:pPr>
            <w:r>
              <w:rPr>
                <w:sz w:val="15"/>
                <w:szCs w:val="15"/>
              </w:rPr>
              <w:t xml:space="preserve">More records</w:t>
            </w:r>
          </w:p>
        </w:tc>
      </w:tr>
      <w:tr>
        <w:tc>
          <w:tcPr>
            <w:tcW w:type="pct" w:w="1390"/>
            <w:tcMar>
              <w:top w:type="dxa" w:w="50"/>
              <w:left w:type="dxa" w:w="110"/>
              <w:bottom w:type="dxa" w:w="50"/>
              <w:right w:type="dxa" w:w="110"/>
            </w:tcMar>
          </w:tcPr>
          <w:p>
            <w:pPr>
              <w:spacing w:before="28" w:after="28"/>
            </w:pPr>
            <w:r>
              <w:rPr>
                <w:sz w:val="15"/>
                <w:szCs w:val="15"/>
              </w:rPr>
              <w:t xml:space="preserve">Individual cost-driver rates</w:t>
            </w:r>
          </w:p>
        </w:tc>
        <w:tc>
          <w:tcPr>
            <w:tcW w:type="pct" w:w="1914"/>
            <w:tcMar>
              <w:top w:type="dxa" w:w="50"/>
              <w:left w:type="dxa" w:w="110"/>
              <w:bottom w:type="dxa" w:w="50"/>
              <w:right w:type="dxa" w:w="110"/>
            </w:tcMar>
          </w:tcPr>
          <w:p>
            <w:pPr>
              <w:spacing w:before="28" w:after="28"/>
            </w:pPr>
            <w:r>
              <w:rPr>
                <w:sz w:val="15"/>
                <w:szCs w:val="15"/>
              </w:rPr>
              <w:t xml:space="preserve">A rate for each activity (ABC, Chapter 12)</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27"/>
            <w:tcMar>
              <w:top w:type="dxa" w:w="50"/>
              <w:left w:type="dxa" w:w="110"/>
              <w:bottom w:type="dxa" w:w="50"/>
              <w:right w:type="dxa" w:w="110"/>
            </w:tcMar>
          </w:tcPr>
          <w:p>
            <w:pPr>
              <w:spacing w:before="28" w:after="28"/>
            </w:pPr>
            <w:r>
              <w:rPr>
                <w:sz w:val="15"/>
                <w:szCs w:val="15"/>
              </w:rPr>
              <w:t xml:space="preserve">Costly to design and maintain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Most accurate   ·   Better when departments differ   ·   Distorts cost when departments use different drivers   ·   Packing: labor hours × $16</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one rate or two?</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Grinding overhead is $2,200,000 over 80,000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hours: $27.50 per hour.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overhead is $800,000 over 50,000 labor hours: $16 per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Packing   ·   machine   ·   ignores</w:t>
            </w:r>
          </w:p>
        </w:tc>
      </w:tr>
    </w:tbl>
    <w:p/>
    <w:p>
      <w:pPr>
        <w:spacing w:before="44" w:after="10"/>
      </w:pPr>
      <w:r>
        <w:rPr>
          <w:b/>
          <w:bCs/>
          <w:color w:val="353A7C"/>
          <w:sz w:val="18"/>
          <w:szCs w:val="18"/>
        </w:rPr>
        <w:t xml:space="preserve">Worked example: plantwide and departmental overhead on two jobs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361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613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Grinding: MH × $27.50   ·   Machine hours (grinding + packing)   ·   underapplied overhead   ·   Departmental total</w:t>
            </w:r>
          </w:p>
        </w:tc>
      </w:tr>
    </w:tbl>
    <w:p/>
    <w:p>
      <w:pPr>
        <w:spacing w:before="44" w:after="14"/>
      </w:pPr>
      <w:r>
        <w:rPr>
          <w:b/>
          <w:bCs/>
          <w:color w:val="353A7C"/>
          <w:sz w:val="18"/>
          <w:szCs w:val="18"/>
        </w:rPr>
        <w:t xml:space="preserve">Summary 3</w:t>
      </w:r>
      <w:r>
        <w:rPr>
          <w:color w:val="6B7280"/>
          <w:sz w:val="16"/>
          <w:szCs w:val="16"/>
        </w:rPr>
        <w:t xml:space="preserve">      gaps 18–23</w:t>
      </w:r>
    </w:p>
    <w:p>
      <w:pPr>
        <w:spacing w:before="20" w:after="20" w:line="360" w:lineRule="auto"/>
        <w:ind w:left="200"/>
      </w:pPr>
      <w:r>
        <w:rPr>
          <w:sz w:val="19"/>
          <w:szCs w:val="19"/>
        </w:rPr>
        <w:t xml:space="preserve">The plantwide rate undercosts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jar order by $6,050 and overcosts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drum order. </w:t>
      </w:r>
      <w:r>
        <w:rPr>
          <w:sz w:val="19"/>
          <w:szCs w:val="19"/>
        </w:rPr>
        <w:t xml:space="preserve">Departmental rates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the real drivers, so they give more accurate job costs and better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More rates cost more to run: more bases to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and more records to keep. </w:t>
      </w:r>
      <w:r>
        <w:rPr>
          <w:sz w:val="19"/>
          <w:szCs w:val="19"/>
        </w:rPr>
        <w:t xml:space="preserve">Use a plantwide rate when departments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overhead in similar ways; use departmental or driver rates when they do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   ·   costing   ·   prices   ·   packing-heavy   ·   consume   ·   follow   ·   grinding-heavy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11"/>
        <w:gridCol w:w="488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3"/>
            <w:tcMar>
              <w:top w:type="dxa" w:w="50"/>
              <w:left w:type="dxa" w:w="110"/>
              <w:bottom w:type="dxa" w:w="50"/>
              <w:right w:type="dxa" w:w="110"/>
            </w:tcMar>
          </w:tcPr>
          <w:p>
            <w:pPr>
              <w:spacing w:before="26" w:after="26"/>
            </w:pPr>
            <w:r>
              <w:rPr>
                <w:color w:val="232733"/>
                <w:sz w:val="16"/>
                <w:szCs w:val="16"/>
              </w:rPr>
              <w:t xml:space="preserve">plantwide overhead rate</w:t>
            </w:r>
          </w:p>
        </w:tc>
        <w:tc>
          <w:tcPr>
            <w:tcW w:type="pct" w:w="2547"/>
            <w:tcMar>
              <w:top w:type="dxa" w:w="50"/>
              <w:left w:type="dxa" w:w="110"/>
              <w:bottom w:type="dxa" w:w="50"/>
              <w:right w:type="dxa" w:w="110"/>
            </w:tcMar>
          </w:tcPr>
          <w:p>
            <w:pPr>
              <w:spacing w:before="26" w:after="26"/>
            </w:pPr>
            <w:r>
              <w:rPr>
                <w:color w:val="232733"/>
                <w:sz w:val="16"/>
                <w:szCs w:val="16"/>
              </w:rPr>
              <w:t xml:space="preserve">معدل التحميل الموحد للمصنع</w:t>
            </w:r>
          </w:p>
        </w:tc>
      </w:tr>
      <w:tr>
        <w:tc>
          <w:tcPr>
            <w:tcW w:type="pct" w:w="2453"/>
            <w:shd w:fill="FBFAF6" w:val="clear"/>
            <w:tcMar>
              <w:top w:type="dxa" w:w="50"/>
              <w:left w:type="dxa" w:w="110"/>
              <w:bottom w:type="dxa" w:w="50"/>
              <w:right w:type="dxa" w:w="110"/>
            </w:tcMar>
          </w:tcPr>
          <w:p>
            <w:pPr>
              <w:spacing w:before="26" w:after="26"/>
            </w:pPr>
            <w:r>
              <w:rPr>
                <w:color w:val="232733"/>
                <w:sz w:val="16"/>
                <w:szCs w:val="16"/>
              </w:rPr>
              <w:t xml:space="preserve">departmental overhead rate</w:t>
            </w:r>
          </w:p>
        </w:tc>
        <w:tc>
          <w:tcPr>
            <w:tcW w:type="pct" w:w="2547"/>
            <w:shd w:fill="FBFAF6" w:val="clear"/>
            <w:tcMar>
              <w:top w:type="dxa" w:w="50"/>
              <w:left w:type="dxa" w:w="110"/>
              <w:bottom w:type="dxa" w:w="50"/>
              <w:right w:type="dxa" w:w="110"/>
            </w:tcMar>
          </w:tcPr>
          <w:p>
            <w:pPr>
              <w:spacing w:before="26" w:after="26"/>
            </w:pPr>
            <w:r>
              <w:rPr>
                <w:color w:val="232733"/>
                <w:sz w:val="16"/>
                <w:szCs w:val="16"/>
              </w:rPr>
              <w:t xml:space="preserve">معدل التحميل على مستوى القسم</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8.1  Plantwide, departmental and cost-driver rates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Plantwide, departmental and cost-driver rates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machine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Why overhead is over- or 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Packing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8A: Tahini &amp; Spreads closes 2</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Machine hours (grinding + packing)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called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Grinding: MH × $27.50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further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Departmental 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activity-based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packing-heavy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Spreads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grinding-heavy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machine-heavy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prices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Distorts cost when departments use different drivers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measure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Better when departments differ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consume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Most accurate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plantwide overhead rate, also called a corporate-wide rate, uses one rate and one base for all overhead. A departmental overhead rate gives each department its own rate and base. Individual cost-driver rates go further, with a rate for each activity; that is activity-based costing. Tahini &amp; Spreads has two departments. Grinding is machine-heavy and packing is labor-heavy. Its plantwide rate of $30 per machine hour ignores that difference.</w:t>
      </w:r>
    </w:p>
    <w:p>
      <w:pPr>
        <w:spacing w:before="20" w:after="20"/>
        <w:ind w:left="240" w:hanging="240"/>
      </w:pPr>
      <w:r>
        <w:rPr>
          <w:b/>
          <w:bCs/>
          <w:color w:val="353A7C"/>
          <w:sz w:val="15"/>
          <w:szCs w:val="15"/>
        </w:rPr>
        <w:t xml:space="preserve">Summary 2   </w:t>
      </w:r>
      <w:r>
        <w:rPr>
          <w:color w:val="6B7280"/>
          <w:sz w:val="15"/>
          <w:szCs w:val="15"/>
        </w:rPr>
        <w:t xml:space="preserve">Grinding overhead is $2,200,000 over 80,000 machine hours: $27.50 per hour. Packing overhead is $800,000 over 50,000 labor hours: $16 per hour.</w:t>
      </w:r>
    </w:p>
    <w:p>
      <w:pPr>
        <w:spacing w:before="20" w:after="20"/>
        <w:ind w:left="240" w:hanging="240"/>
      </w:pPr>
      <w:r>
        <w:rPr>
          <w:b/>
          <w:bCs/>
          <w:color w:val="353A7C"/>
          <w:sz w:val="15"/>
          <w:szCs w:val="15"/>
        </w:rPr>
        <w:t xml:space="preserve">Summary 3   </w:t>
      </w:r>
      <w:r>
        <w:rPr>
          <w:color w:val="6B7280"/>
          <w:sz w:val="15"/>
          <w:szCs w:val="15"/>
        </w:rPr>
        <w:t xml:space="preserve">The plantwide rate undercosts the packing-heavy jar order by $6,050 and overcosts the grinding-heavy drum order. Departmental rates follow the real drivers, so they give more accurate job costs and better prices. More rates cost more to run: more bases to measure and more records to keep. Use a plantwide rate when departments consume overhead in similar ways; use departmental or driver rates when they do not.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8.2  Fixed overhead</w:t>
            </w:r>
          </w:p>
          <w:p>
            <w:pPr>
              <w:spacing w:before="0" w:after="46"/>
            </w:pPr>
            <w:r>
              <w:rPr>
                <w:color w:val="E8EAF6"/>
                <w:sz w:val="16"/>
                <w:szCs w:val="16"/>
              </w:rPr>
              <w:t xml:space="preserve">Chapter 8 · section 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Fixed overhead is the cost of having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does not change with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 the relevant range. </w:t>
      </w:r>
      <w:r>
        <w:rPr>
          <w:sz w:val="19"/>
          <w:szCs w:val="19"/>
        </w:rPr>
        <w:t xml:space="preserve">Typical components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supervision, insurance, property tax, rent or lease costs, and the fixed charges of service departments.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depreciation   ·   supervision   ·   capacity</w:t>
            </w:r>
          </w:p>
        </w:tc>
      </w:tr>
    </w:tbl>
    <w:p/>
    <w:p>
      <w:pPr>
        <w:spacing w:before="44" w:after="10"/>
      </w:pPr>
      <w:r>
        <w:rPr>
          <w:b/>
          <w:bCs/>
          <w:color w:val="353A7C"/>
          <w:sz w:val="18"/>
          <w:szCs w:val="18"/>
        </w:rPr>
        <w:t xml:space="preserve">Tahini &amp; Spreads fixed overhead, 2027</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Budgeted fixed overhead   ·   plantwide overhead rate</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Keep variable items out of the fixed pool. </w:t>
      </w:r>
      <w:r>
        <w:rPr>
          <w:sz w:val="19"/>
          <w:szCs w:val="19"/>
        </w:rPr>
        <w:t xml:space="preserve">Power for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cleaning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rise with machine hours, so they belong in variable overhead at $6 per machine hour.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supplies   ·   Typical   ·   grinders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fixed overhead</w:t>
            </w:r>
          </w:p>
        </w:tc>
        <w:tc>
          <w:tcPr>
            <w:tcW w:type="pct" w:w="2600"/>
            <w:tcMar>
              <w:top w:type="dxa" w:w="50"/>
              <w:left w:type="dxa" w:w="110"/>
              <w:bottom w:type="dxa" w:w="50"/>
              <w:right w:type="dxa" w:w="110"/>
            </w:tcMar>
          </w:tcPr>
          <w:p>
            <w:pPr>
              <w:spacing w:before="26" w:after="26"/>
            </w:pPr>
            <w:r>
              <w:rPr>
                <w:color w:val="232733"/>
                <w:sz w:val="16"/>
                <w:szCs w:val="16"/>
              </w:rPr>
              <w:t xml:space="preserve">التكاليف الصناعية غير المباشرة الثابتة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8.2  Fixed overhead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Budgeted fixed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grinders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Fixed overhead is the cost of having capacity: it does not change with activity in the relevant range. Typical components are depreciation, supervision, insurance, property tax, rent or lease costs, and the fixed charges of service departments.</w:t>
      </w:r>
    </w:p>
    <w:p>
      <w:pPr>
        <w:spacing w:before="20" w:after="20"/>
        <w:ind w:left="240" w:hanging="240"/>
      </w:pPr>
      <w:r>
        <w:rPr>
          <w:b/>
          <w:bCs/>
          <w:color w:val="353A7C"/>
          <w:sz w:val="15"/>
          <w:szCs w:val="15"/>
        </w:rPr>
        <w:t xml:space="preserve">Summary 2   </w:t>
      </w:r>
      <w:r>
        <w:rPr>
          <w:color w:val="6B7280"/>
          <w:sz w:val="15"/>
          <w:szCs w:val="15"/>
        </w:rPr>
        <w:t xml:space="preserve">Keep variable items out of the fixed pool. Power for the grinders and cleaning supplies rise with machine hours, so they belong in variable overhead at $6 per machine hour.</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8.3  The allocation base and the denominator</w:t>
            </w:r>
          </w:p>
          <w:p>
            <w:pPr>
              <w:spacing w:before="0" w:after="46"/>
            </w:pPr>
            <w:r>
              <w:rPr>
                <w:color w:val="E8EAF6"/>
                <w:sz w:val="16"/>
                <w:szCs w:val="16"/>
              </w:rPr>
              <w:t xml:space="preserve">Chapter 8 · section 8.3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base for fixed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measure how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use capacity. </w:t>
      </w:r>
      <w:r>
        <w:rPr>
          <w:sz w:val="19"/>
          <w:szCs w:val="19"/>
        </w:rPr>
        <w:t xml:space="preserve">In 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grinding plant that is machine hours. </w:t>
      </w:r>
      <w:r>
        <w:rPr>
          <w:sz w:val="19"/>
          <w:szCs w:val="19"/>
        </w:rPr>
        <w:t xml:space="preserve">The base must also be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for every job. </w:t>
      </w:r>
      <w:r>
        <w:rPr>
          <w:sz w:val="19"/>
          <w:szCs w:val="19"/>
        </w:rPr>
        <w:t xml:space="preserve">The fixed overhead rate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fixed overhead divided by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level of the base. </w:t>
      </w:r>
      <w:r>
        <w:rPr>
          <w:sz w:val="19"/>
          <w:szCs w:val="19"/>
        </w:rPr>
        <w:t xml:space="preserve">The choice matters: the same $2,400,000 gives $16 per hour 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capacity, $20 at practical capacity, $24 at normal capacity and $25 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capacity.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uses normal capacity: 100,000 machine hours, inside a normal range of 90,000 to 110,000 hours a year, which gives $24 per hour and keeps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line with U.S. GAAP. </w:t>
      </w:r>
      <w:r>
        <w:rPr>
          <w:sz w:val="19"/>
          <w:szCs w:val="19"/>
        </w:rPr>
        <w:t xml:space="preserve">U.S. GAAP and IAS 2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fixed production overhead on normal capacity. </w:t>
      </w:r>
      <w:r>
        <w:rPr>
          <w:sz w:val="19"/>
          <w:szCs w:val="19"/>
        </w:rPr>
        <w:t xml:space="preserve">Fixed overhead per unit is not increased when production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low; the unallocated amount is expensed in that period.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abnormally   ·   should   ·   master-budget   ·   measurable   ·   budgeted   ·   automated   ·   Orontes   ·   denominator   ·   theoretical   ·   products   ·   allocate   ·   inventory   ·   increased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denominator level   ·   theoretical capacity   ·   master-budget capacity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denominator level</w:t>
            </w:r>
          </w:p>
        </w:tc>
        <w:tc>
          <w:tcPr>
            <w:tcW w:type="pct" w:w="2600"/>
            <w:tcMar>
              <w:top w:type="dxa" w:w="50"/>
              <w:left w:type="dxa" w:w="110"/>
              <w:bottom w:type="dxa" w:w="50"/>
              <w:right w:type="dxa" w:w="110"/>
            </w:tcMar>
          </w:tcPr>
          <w:p>
            <w:pPr>
              <w:spacing w:before="26" w:after="26"/>
            </w:pPr>
            <w:r>
              <w:rPr>
                <w:color w:val="232733"/>
                <w:sz w:val="16"/>
                <w:szCs w:val="16"/>
              </w:rPr>
              <w:t xml:space="preserve">مستوى الطاقة المستخدم في المقام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theoretical capacity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الطاقة النظرية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master-budget capacity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طاقة الموازنة الشاملة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8.3  The allocation base and the denominator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master-budget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automated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measurable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allocate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abnormally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denominator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denominator level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theoretical</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master-budget capacity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base for fixed overhead should measure how products use capacity. In an automated grinding plant that is machine hours. The base must also be measurable for every job. The fixed overhead rate is budgeted fixed overhead divided by a denominator level of the base. The choice matters: the same $2,400,000 gives $16 per hour at theoretical capacity, $20 at practical capacity, $24 at normal capacity and $25 at master-budget capacity. Orontes uses normal capacity: 100,000 machine hours, inside a normal range of 90,000 to 110,000 hours a year, which gives $24 per hour and keeps inventory in line with U.S. GAAP. U.S. GAAP and IAS 2 allocate fixed production overhead on normal capacity. Fixed overhead per unit is not increased when production is abnormally low; the unallocated amount is expensed in that period.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8.4  Why overhead is over- or under-applied</w:t>
            </w:r>
          </w:p>
          <w:p>
            <w:pPr>
              <w:spacing w:before="0" w:after="46"/>
            </w:pPr>
            <w:r>
              <w:rPr>
                <w:color w:val="E8EAF6"/>
                <w:sz w:val="16"/>
                <w:szCs w:val="16"/>
              </w:rPr>
              <w:t xml:space="preserve">Chapter 8 · section 8.4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Actual overhead collects in Manufacturing Overhead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applied overhead collects in Manufacturing Overhead Applied. </w:t>
      </w:r>
      <w:r>
        <w:rPr>
          <w:sz w:val="19"/>
          <w:szCs w:val="19"/>
        </w:rPr>
        <w:t xml:space="preserve">When actual is more than applied, the difference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overhead and product costs are too low. </w:t>
      </w:r>
      <w:r>
        <w:rPr>
          <w:sz w:val="19"/>
          <w:szCs w:val="19"/>
        </w:rPr>
        <w:t xml:space="preserve">When applied is more, the difference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overhead. </w:t>
      </w:r>
      <w:r>
        <w:rPr>
          <w:sz w:val="19"/>
          <w:szCs w:val="19"/>
        </w:rPr>
        <w:t xml:space="preserve">There are three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Spending can differ from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Actual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can differ from the denominator, so fixed overhead is applied to more or fewer hours than planned. </w:t>
      </w:r>
      <w:r>
        <w:rPr>
          <w:sz w:val="19"/>
          <w:szCs w:val="19"/>
        </w:rPr>
        <w:t xml:space="preserve">And the base can be used more or less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In 2027 Tahini &amp; Spreads worked 92,000 machine hours, below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denominator of 100,000. </w:t>
      </w:r>
      <w:r>
        <w:rPr>
          <w:sz w:val="19"/>
          <w:szCs w:val="19"/>
        </w:rPr>
        <w:t xml:space="preserve">So applied fixed overhead fell short even before spending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   ·   machine   ·   underapplied   ·   budget   ·   normal-capacity   ·   considered   ·   causes   ·   overapplied   ·   efficiently   ·   activity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overapplied overhead   ·   underapplied overhead   ·   نقص التحميل</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underapplied overhead</w:t>
            </w:r>
          </w:p>
        </w:tc>
        <w:tc>
          <w:tcPr>
            <w:tcW w:type="pct" w:w="2400"/>
            <w:tcMar>
              <w:top w:type="dxa" w:w="50"/>
              <w:left w:type="dxa" w:w="110"/>
              <w:bottom w:type="dxa" w:w="50"/>
              <w:right w:type="dxa" w:w="110"/>
            </w:tcMar>
          </w:tcPr>
          <w:p>
            <w:pPr>
              <w:spacing w:before="26" w:after="26"/>
            </w:pPr>
            <w:r>
              <w:rPr>
                <w:color w:val="232733"/>
                <w:sz w:val="16"/>
                <w:szCs w:val="16"/>
              </w:rPr>
              <w:t xml:space="preserve">نقص التحميل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overapplied overhead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زيادة التحميل</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8.4  Why overhead is over- or under-applied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Control</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efficiently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underapplied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normal-capacity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overapplied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considered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causes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underapplied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overapplied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activity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Actual overhead collects in Manufacturing Overhead Control; applied overhead collects in Manufacturing Overhead Applied. When actual is more than applied, the difference is underapplied overhead and product costs are too low. When applied is more, the difference is overapplied overhead. There are three causes. Spending can differ from the budget. Actual activity can differ from the denominator, so fixed overhead is applied to more or fewer hours than planned. And the base can be used more or less efficiently. In 2027 Tahini &amp; Spreads worked 92,000 machine hours, below the normal-capacity denominator of 100,000. So applied fixed overhead fell short even before spending is considered.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8.5  Closing the difference at year-end</w:t>
            </w:r>
          </w:p>
          <w:p>
            <w:pPr>
              <w:spacing w:before="0" w:after="46"/>
            </w:pPr>
            <w:r>
              <w:rPr>
                <w:color w:val="E8EAF6"/>
                <w:sz w:val="16"/>
                <w:szCs w:val="16"/>
              </w:rPr>
              <w:t xml:space="preserve">Chapter 8 · section 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During the year the difference stays open, because monthly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often cancel out. </w:t>
      </w:r>
      <w:r>
        <w:rPr>
          <w:sz w:val="19"/>
          <w:szCs w:val="19"/>
        </w:rPr>
        <w:t xml:space="preserve">At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must be closed so that both overhead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return to zero. </w:t>
      </w:r>
      <w:r>
        <w:rPr>
          <w:sz w:val="19"/>
          <w:szCs w:val="19"/>
        </w:rPr>
        <w:t xml:space="preserve">If the difference is immaterial, it is closed to cost of goods sold. </w:t>
      </w:r>
      <w:r>
        <w:rPr>
          <w:sz w:val="19"/>
          <w:szCs w:val="19"/>
        </w:rPr>
        <w:t xml:space="preserve">If it is material, it is spread by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over ending work in process, ending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goods and cost of goods sold.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come from the overhead applied in each balance this year, not from the total balances.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treats a difference above 2% of applied overhead as material.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   proration   ·   year-end   ·   finished   ·   Orontes   ·   monthly   ·   differences   ·   shares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Prorate on applied overhead</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Use the overhead applied in each balance during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year. </w:t>
      </w:r>
      <w:r>
        <w:rPr>
          <w:sz w:val="19"/>
          <w:szCs w:val="19"/>
        </w:rPr>
        <w:t xml:space="preserve">Do not use total ending balances, and do not include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inventory.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year-end   ·   beginning   ·   current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Share the underapplied overhead</w:t>
            </w:r>
          </w:p>
        </w:tc>
      </w:tr>
    </w:tbl>
    <w:p/>
    <w:p>
      <w:pPr>
        <w:spacing w:before="20" w:after="20" w:line="360" w:lineRule="auto"/>
        <w:ind w:left="200"/>
      </w:pPr>
      <w:r>
        <w:rPr>
          <w:sz w:val="19"/>
          <w:szCs w:val="19"/>
        </w:rPr>
        <w:t xml:space="preserve">The first share is done.</w:t>
      </w:r>
    </w:p>
    <w:p>
      <w:pPr>
        <w:spacing w:before="44" w:after="10"/>
      </w:pPr>
      <w:r>
        <w:rPr>
          <w:b/>
          <w:bCs/>
          <w:color w:val="353A7C"/>
          <w:sz w:val="18"/>
          <w:szCs w:val="18"/>
        </w:rPr>
        <w:t xml:space="preserve">Your turn: share the underapplied overhead (complete the blanks)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plantwide overhead rate   ·   Overhead applied in COGS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Closing the difference: write-off or proration</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Write off to COGS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Prorate</w:t>
            </w:r>
          </w:p>
        </w:tc>
      </w:tr>
      <w:tr>
        <w:tc>
          <w:tcPr>
            <w:tcW w:type="pct" w:w="758"/>
            <w:tcMar>
              <w:top w:type="dxa" w:w="50"/>
              <w:left w:type="dxa" w:w="110"/>
              <w:bottom w:type="dxa" w:w="50"/>
              <w:right w:type="dxa" w:w="110"/>
            </w:tcMar>
          </w:tcPr>
          <w:p>
            <w:pPr>
              <w:spacing w:before="28" w:after="28"/>
            </w:pPr>
            <w:r>
              <w:rPr>
                <w:sz w:val="15"/>
                <w:szCs w:val="15"/>
              </w:rPr>
              <w:t xml:space="preserve">When</w:t>
            </w:r>
          </w:p>
        </w:tc>
        <w:tc>
          <w:tcPr>
            <w:tcW w:type="pct" w:w="2042"/>
            <w:tcMar>
              <w:top w:type="dxa" w:w="50"/>
              <w:left w:type="dxa" w:w="110"/>
              <w:bottom w:type="dxa" w:w="50"/>
              <w:right w:type="dxa" w:w="110"/>
            </w:tcMar>
          </w:tcPr>
          <w:p>
            <w:pPr>
              <w:spacing w:before="28" w:after="28"/>
            </w:pPr>
            <w:r>
              <w:rPr>
                <w:sz w:val="15"/>
                <w:szCs w:val="15"/>
              </w:rPr>
              <w:t xml:space="preserve">Difference is immaterial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Entry</w:t>
            </w:r>
          </w:p>
        </w:tc>
        <w:tc>
          <w:tcPr>
            <w:tcW w:type="pct" w:w="2042"/>
            <w:shd w:fill="FBFAF6" w:val="clear"/>
            <w:tcMar>
              <w:top w:type="dxa" w:w="50"/>
              <w:left w:type="dxa" w:w="110"/>
              <w:bottom w:type="dxa" w:w="50"/>
              <w:right w:type="dxa" w:w="110"/>
            </w:tcMar>
          </w:tcPr>
          <w:p>
            <w:pPr>
              <w:spacing w:before="28" w:after="28"/>
            </w:pPr>
            <w:r>
              <w:rPr>
                <w:sz w:val="15"/>
                <w:szCs w:val="15"/>
              </w:rPr>
              <w:t xml:space="preserve">Dr MOH Applied, Dr (or Cr) COGS; Cr MOH Control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758"/>
            <w:tcMar>
              <w:top w:type="dxa" w:w="50"/>
              <w:left w:type="dxa" w:w="110"/>
              <w:bottom w:type="dxa" w:w="50"/>
              <w:right w:type="dxa" w:w="110"/>
            </w:tcMar>
          </w:tcPr>
          <w:p>
            <w:pPr>
              <w:spacing w:before="28" w:after="28"/>
            </w:pPr>
            <w:r>
              <w:rPr>
                <w:sz w:val="15"/>
                <w:szCs w:val="15"/>
              </w:rPr>
              <w:t xml:space="preserve">Basis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200"/>
            <w:tcMar>
              <w:top w:type="dxa" w:w="50"/>
              <w:left w:type="dxa" w:w="110"/>
              <w:bottom w:type="dxa" w:w="50"/>
              <w:right w:type="dxa" w:w="110"/>
            </w:tcMar>
          </w:tcPr>
          <w:p>
            <w:pPr>
              <w:spacing w:before="28" w:after="28"/>
            </w:pPr>
            <w:r>
              <w:rPr>
                <w:sz w:val="15"/>
                <w:szCs w:val="15"/>
              </w:rPr>
              <w:t xml:space="preserve">Current-period overhead applied in ending WIP, FG and COGS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Effect</w:t>
            </w:r>
          </w:p>
        </w:tc>
        <w:tc>
          <w:tcPr>
            <w:tcW w:type="pct" w:w="2042"/>
            <w:shd w:fill="FBFAF6" w:val="clear"/>
            <w:tcMar>
              <w:top w:type="dxa" w:w="50"/>
              <w:left w:type="dxa" w:w="110"/>
              <w:bottom w:type="dxa" w:w="50"/>
              <w:right w:type="dxa" w:w="110"/>
            </w:tcMar>
          </w:tcPr>
          <w:p>
            <w:pPr>
              <w:spacing w:before="28" w:after="28"/>
            </w:pPr>
            <w:r>
              <w:rPr>
                <w:sz w:val="15"/>
                <w:szCs w:val="15"/>
              </w:rPr>
              <w:t xml:space="preserve">Simple; COGS absorbs all</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758"/>
            <w:tcMar>
              <w:top w:type="dxa" w:w="50"/>
              <w:left w:type="dxa" w:w="110"/>
              <w:bottom w:type="dxa" w:w="50"/>
              <w:right w:type="dxa" w:w="110"/>
            </w:tcMar>
          </w:tcPr>
          <w:p>
            <w:pPr>
              <w:spacing w:before="28" w:after="28"/>
            </w:pPr>
            <w:r>
              <w:rPr>
                <w:sz w:val="15"/>
                <w:szCs w:val="15"/>
              </w:rPr>
              <w:t xml:space="preserve">GAAP note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200"/>
            <w:tcMar>
              <w:top w:type="dxa" w:w="50"/>
              <w:left w:type="dxa" w:w="110"/>
              <w:bottom w:type="dxa" w:w="50"/>
              <w:right w:type="dxa" w:w="110"/>
            </w:tcMar>
          </w:tcPr>
          <w:p>
            <w:pPr>
              <w:spacing w:before="28" w:after="28"/>
            </w:pPr>
            <w:r>
              <w:rPr>
                <w:sz w:val="15"/>
                <w:szCs w:val="15"/>
              </w:rPr>
              <w:t xml:space="preserve">Abnormal idle capacity is expensed, never prorated (ASC 330)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Simple; COGS absorbs all   ·   Inventories show nearer-actual cost   ·   Dr MOH Applied, Dr WIP, Dr FG, Dr COGS; Cr MOH Control   ·   Fine if immaterial   ·   All to COGS   ·   Difference is material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proration</w:t>
            </w:r>
          </w:p>
        </w:tc>
        <w:tc>
          <w:tcPr>
            <w:tcW w:type="pct" w:w="2600"/>
            <w:tcMar>
              <w:top w:type="dxa" w:w="50"/>
              <w:left w:type="dxa" w:w="110"/>
              <w:bottom w:type="dxa" w:w="50"/>
              <w:right w:type="dxa" w:w="110"/>
            </w:tcMar>
          </w:tcPr>
          <w:p>
            <w:pPr>
              <w:spacing w:before="26" w:after="26"/>
            </w:pPr>
            <w:r>
              <w:rPr>
                <w:color w:val="232733"/>
                <w:sz w:val="16"/>
                <w:szCs w:val="16"/>
              </w:rPr>
              <w:t xml:space="preserve">التوزيع النسبي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8.5  Closing the difference at year-end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differences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Overhead applied in COGS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Difference is 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proration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Dr MOH Applied, Dr WIP, Dr FG, Dr COGS; Cr MOH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All to COGS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Inventories show nearer-actual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Fine if immaterial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current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During the year the difference stays open, because monthly differences often cancel out. At year-end it must be closed so that both overhead accounts return to zero. If the difference is immaterial, it is closed to cost of goods sold. If it is material, it is spread by proration over ending work in process, ending finished goods and cost of goods sold. The shares come from the overhead applied in each balance this year, not from the total balances. Orontes treats a difference above 2% of applied overhead as material.</w:t>
      </w:r>
    </w:p>
    <w:p>
      <w:pPr>
        <w:spacing w:before="20" w:after="20"/>
        <w:ind w:left="240" w:hanging="240"/>
      </w:pPr>
      <w:r>
        <w:rPr>
          <w:b/>
          <w:bCs/>
          <w:color w:val="353A7C"/>
          <w:sz w:val="15"/>
          <w:szCs w:val="15"/>
        </w:rPr>
        <w:t xml:space="preserve">Summary 2   </w:t>
      </w:r>
      <w:r>
        <w:rPr>
          <w:color w:val="6B7280"/>
          <w:sz w:val="15"/>
          <w:szCs w:val="15"/>
        </w:rPr>
        <w:t xml:space="preserve">Use the overhead applied in each balance during the current year. Do not use total ending balances, and do not include beginning inventory.</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8.6  Extended Example 8A: Tahini &amp; Spreads closes 2027</w:t>
            </w:r>
          </w:p>
          <w:p>
            <w:pPr>
              <w:spacing w:before="0" w:after="46"/>
            </w:pPr>
            <w:r>
              <w:rPr>
                <w:color w:val="E8EAF6"/>
                <w:sz w:val="16"/>
                <w:szCs w:val="16"/>
              </w:rPr>
              <w:t xml:space="preserve">Chapter 8 · section 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year's underapplied overhead,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records the closing entry and compares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with a write-off. </w:t>
      </w:r>
      <w:r>
        <w:rPr>
          <w:sz w:val="19"/>
          <w:szCs w:val="19"/>
        </w:rPr>
        <w:t xml:space="preserve">The proration and its effect on income are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variance split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Book 3. </w:t>
      </w:r>
      <w:r>
        <w:rPr>
          <w:sz w:val="19"/>
          <w:szCs w:val="19"/>
        </w:rPr>
        <w:t xml:space="preserve">Rate: $30 per machine hour, set at normal capacity of 100,000 hours. </w:t>
      </w:r>
      <w:r>
        <w:rPr>
          <w:sz w:val="19"/>
          <w:szCs w:val="19"/>
        </w:rPr>
        <w:t xml:space="preserve">Actual: 92,000 machine hours; fixed overhead $30,000 above budget; variable overhead $8,000 above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budget. </w:t>
      </w:r>
      <w:r>
        <w:rPr>
          <w:sz w:val="19"/>
          <w:szCs w:val="19"/>
        </w:rPr>
        <w:t xml:space="preserve">Balances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closing: work 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$690,000, finished goods $1,380,000, cost of goods sold $6,090,000. </w:t>
      </w:r>
      <w:r>
        <w:rPr>
          <w:sz w:val="19"/>
          <w:szCs w:val="19"/>
        </w:rPr>
        <w:t xml:space="preserve">Find the underapplied amount and its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test materiality, prorate on applied overhead,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entry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income effect of the two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Fixed rate: $2,400,000 ÷ 100,000 hours = $24; plus $6 variable = $30 per machine hour. </w:t>
      </w:r>
      <w:r>
        <w:rPr>
          <w:sz w:val="19"/>
          <w:szCs w:val="19"/>
        </w:rPr>
        <w:t xml:space="preserve">Applied: 92,000 × $30 = $2,760,000. </w:t>
      </w:r>
      <w:r>
        <w:rPr>
          <w:sz w:val="19"/>
          <w:szCs w:val="19"/>
        </w:rPr>
        <w:t xml:space="preserve">Materiality: 230,000 ÷ 2,760,000 = 8.3%, above the 2% policy, so the difference is prorated.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prorates   ·   result   ·   previews   ·   record   ·   applied   ·   exam-core   ·   process   ·   methods   ·   before   ·   flexible   ·   causes   ·   analyzes   ·   compare</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Most of it, $192,000, is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effect: fixed overhead was budgeted for normal capacity but applied to only 92,000 hours.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adds $30,000 and variable overhead $8,000. </w:t>
      </w:r>
      <w:r>
        <w:rPr>
          <w:sz w:val="19"/>
          <w:szCs w:val="19"/>
        </w:rPr>
        <w:t xml:space="preserve">Book 3 calls these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variances   ·   Spending   ·   production-volume   ·   proration</w:t>
            </w:r>
          </w:p>
        </w:tc>
      </w:tr>
    </w:tbl>
    <w:p/>
    <w:p>
      <w:pPr>
        <w:spacing w:before="44" w:after="10"/>
      </w:pPr>
      <w:r>
        <w:rPr>
          <w:b/>
          <w:bCs/>
          <w:color w:val="353A7C"/>
          <w:sz w:val="18"/>
          <w:szCs w:val="18"/>
        </w:rPr>
        <w:t xml:space="preserve">Extended Example: proration of the 2027 underapplied overhead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1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5124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Ending finished goods   ·   departmental overhead rate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294"/>
        <w:gridCol w:w="199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year-end closing entry (proration)</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95"/>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037"/>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195"/>
            <w:tcMar>
              <w:top w:type="dxa" w:w="50"/>
              <w:left w:type="dxa" w:w="110"/>
              <w:bottom w:type="dxa" w:w="50"/>
              <w:right w:type="dxa" w:w="110"/>
            </w:tcMar>
          </w:tcPr>
          <w:p>
            <w:pPr>
              <w:spacing w:before="28" w:after="28"/>
            </w:pPr>
            <w:r>
              <w:rPr>
                <w:sz w:val="15"/>
                <w:szCs w:val="15"/>
              </w:rPr>
              <w:t xml:space="preserve">2,760,000</w:t>
            </w:r>
          </w:p>
        </w:tc>
        <w:tc>
          <w:tcPr>
            <w:tcW w:type="pct" w:w="103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195"/>
            <w:shd w:fill="FBFAF6" w:val="clear"/>
            <w:tcMar>
              <w:top w:type="dxa" w:w="50"/>
              <w:left w:type="dxa" w:w="110"/>
              <w:bottom w:type="dxa" w:w="50"/>
              <w:right w:type="dxa" w:w="110"/>
            </w:tcMar>
          </w:tcPr>
          <w:p>
            <w:pPr>
              <w:spacing w:before="28" w:after="28"/>
            </w:pPr>
            <w:r>
              <w:rPr>
                <w:sz w:val="15"/>
                <w:szCs w:val="15"/>
              </w:rPr>
              <w:t xml:space="preserve">23,000</w:t>
            </w:r>
          </w:p>
        </w:tc>
        <w:tc>
          <w:tcPr>
            <w:tcW w:type="pct" w:w="103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Finished Goods Inventory</w:t>
            </w:r>
          </w:p>
        </w:tc>
        <w:tc>
          <w:tcPr>
            <w:tcW w:type="pct" w:w="1195"/>
            <w:tcMar>
              <w:top w:type="dxa" w:w="50"/>
              <w:left w:type="dxa" w:w="110"/>
              <w:bottom w:type="dxa" w:w="50"/>
              <w:right w:type="dxa" w:w="110"/>
            </w:tcMar>
          </w:tcPr>
          <w:p>
            <w:pPr>
              <w:spacing w:before="28" w:after="28"/>
            </w:pPr>
            <w:r>
              <w:rPr>
                <w:sz w:val="15"/>
                <w:szCs w:val="15"/>
              </w:rPr>
              <w:t xml:space="preserve">46,000</w:t>
            </w:r>
          </w:p>
        </w:tc>
        <w:tc>
          <w:tcPr>
            <w:tcW w:type="pct" w:w="1037"/>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Cost of Goods Sold</w:t>
            </w:r>
          </w:p>
        </w:tc>
        <w:tc>
          <w:tcPr>
            <w:tcW w:type="pct" w:w="1195"/>
            <w:shd w:fill="FBFAF6" w:val="clear"/>
            <w:tcMar>
              <w:top w:type="dxa" w:w="50"/>
              <w:left w:type="dxa" w:w="110"/>
              <w:bottom w:type="dxa" w:w="50"/>
              <w:right w:type="dxa" w:w="110"/>
            </w:tcMar>
          </w:tcPr>
          <w:p>
            <w:pPr>
              <w:spacing w:before="28" w:after="28"/>
            </w:pPr>
            <w:r>
              <w:rPr>
                <w:sz w:val="15"/>
                <w:szCs w:val="15"/>
              </w:rPr>
              <w:t xml:space="preserve">161,000</w:t>
            </w:r>
          </w:p>
        </w:tc>
        <w:tc>
          <w:tcPr>
            <w:tcW w:type="pct" w:w="1037"/>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195"/>
            <w:tcMar>
              <w:top w:type="dxa" w:w="50"/>
              <w:left w:type="dxa" w:w="110"/>
              <w:bottom w:type="dxa" w:w="50"/>
              <w:right w:type="dxa" w:w="110"/>
            </w:tcMar>
          </w:tcPr>
          <w:p>
            <w:pPr>
              <w:spacing w:before="28" w:after="28"/>
            </w:pPr>
            <w:r>
              <w:rPr>
                <w:sz w:val="15"/>
                <w:szCs w:val="15"/>
              </w:rPr>
              <w:t xml:space="preserve"> </w:t>
            </w:r>
          </w:p>
        </w:tc>
        <w:tc>
          <w:tcPr>
            <w:tcW w:type="pct" w:w="1037"/>
            <w:tcMar>
              <w:top w:type="dxa" w:w="50"/>
              <w:left w:type="dxa" w:w="110"/>
              <w:bottom w:type="dxa" w:w="50"/>
              <w:right w:type="dxa" w:w="110"/>
            </w:tcMar>
          </w:tcPr>
          <w:p>
            <w:pPr>
              <w:spacing w:before="28" w:after="28"/>
            </w:pPr>
            <w:r>
              <w:rPr>
                <w:sz w:val="15"/>
                <w:szCs w:val="15"/>
              </w:rPr>
              <w:t xml:space="preserve">2,990,000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Totals</w:t>
            </w:r>
          </w:p>
        </w:tc>
        <w:tc>
          <w:tcPr>
            <w:tcW w:type="pct" w:w="1195"/>
            <w:shd w:fill="FBFAF6" w:val="clear"/>
            <w:tcMar>
              <w:top w:type="dxa" w:w="50"/>
              <w:left w:type="dxa" w:w="110"/>
              <w:bottom w:type="dxa" w:w="50"/>
              <w:right w:type="dxa" w:w="110"/>
            </w:tcMar>
          </w:tcPr>
          <w:p>
            <w:pPr>
              <w:spacing w:before="28" w:after="28"/>
            </w:pPr>
            <w:r>
              <w:rPr>
                <w:sz w:val="15"/>
                <w:szCs w:val="15"/>
              </w:rPr>
              <w:t xml:space="preserve">2,990,000</w:t>
            </w:r>
          </w:p>
        </w:tc>
        <w:tc>
          <w:tcPr>
            <w:tcW w:type="pct" w:w="1037"/>
            <w:shd w:fill="FBFAF6" w:val="clear"/>
            <w:tcMar>
              <w:top w:type="dxa" w:w="50"/>
              <w:left w:type="dxa" w:w="110"/>
              <w:bottom w:type="dxa" w:w="50"/>
              <w:right w:type="dxa" w:w="110"/>
            </w:tcMar>
          </w:tcPr>
          <w:p>
            <w:pPr>
              <w:spacing w:before="28" w:after="28"/>
            </w:pPr>
            <w:r>
              <w:rPr>
                <w:sz w:val="15"/>
                <w:szCs w:val="15"/>
              </w:rPr>
              <w:t xml:space="preserve">2,990,000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Manufacturing Overhead Control   ·   Work-in-Process Inventory   ·   plantwide overhead rate   ·   Manufacturing Overhead Applied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6. Write-off or proration?</w:t>
            </w:r>
          </w:p>
        </w:tc>
      </w:tr>
    </w:tbl>
    <w:p/>
    <w:p>
      <w:pPr>
        <w:spacing w:before="44" w:after="14"/>
      </w:pPr>
      <w:r>
        <w:rPr>
          <w:b/>
          <w:bCs/>
          <w:color w:val="353A7C"/>
          <w:sz w:val="18"/>
          <w:szCs w:val="18"/>
        </w:rPr>
        <w:t xml:space="preserve">Summary 3</w:t>
      </w:r>
      <w:r>
        <w:rPr>
          <w:color w:val="6B7280"/>
          <w:sz w:val="16"/>
          <w:szCs w:val="16"/>
        </w:rPr>
        <w:t xml:space="preserve">      gaps 20–21</w:t>
      </w:r>
    </w:p>
    <w:p>
      <w:pPr>
        <w:spacing w:before="20" w:after="20" w:line="360" w:lineRule="auto"/>
        <w:ind w:left="200"/>
      </w:pPr>
      <w:r>
        <w:rPr>
          <w:sz w:val="19"/>
          <w:szCs w:val="19"/>
        </w:rPr>
        <w:t xml:space="preserve">Proration leaves $69,000 of the underapplied overhead in inventory, so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income is $69,000 higher than with a write-off. </w:t>
      </w:r>
      <w:r>
        <w:rPr>
          <w:sz w:val="19"/>
          <w:szCs w:val="19"/>
        </w:rPr>
        <w:t xml:space="preserve">The cost reaches the income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later, when the inventory is sold.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compared   ·   statement   ·   operating</w:t>
            </w:r>
          </w:p>
        </w:tc>
      </w:tr>
    </w:tbl>
    <w:p/>
    <w:p>
      <w:pPr>
        <w:spacing w:before="44" w:after="10"/>
      </w:pPr>
      <w:r>
        <w:rPr>
          <w:b/>
          <w:bCs/>
          <w:color w:val="353A7C"/>
          <w:sz w:val="18"/>
          <w:szCs w:val="18"/>
        </w:rPr>
        <w:t xml:space="preserve">Extended Example: operating income under the two methods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income   ·   master-budget capacity   ·   Selling and administrative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24–26</w:t>
      </w:r>
    </w:p>
    <w:p>
      <w:pPr>
        <w:spacing w:before="20" w:after="20" w:line="360" w:lineRule="auto"/>
        <w:ind w:left="200"/>
      </w:pPr>
      <w:r>
        <w:rPr>
          <w:sz w:val="19"/>
          <w:szCs w:val="19"/>
        </w:rPr>
        <w:t xml:space="preserve">Parts of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$30,000 + $192,000 + $8,000 = $230,000.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$23,000 + $46,000 + $161,000 = $230,000. </w:t>
      </w:r>
      <w:r>
        <w:rPr>
          <w:sz w:val="19"/>
          <w:szCs w:val="19"/>
        </w:rPr>
        <w:t xml:space="preserve">Income effect: $23,000 + $46,000 = $69,000 kept in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w:t>
      </w:r>
      <w:r>
        <w:rPr>
          <w:sz w:val="19"/>
          <w:szCs w:val="19"/>
        </w:rPr>
        <w:t xml:space="preserve">After closing: MOH Control and MOH Applied are both zero.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   ·   Proration   ·   inventory   ·   difference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27–29</w:t>
      </w:r>
    </w:p>
    <w:p>
      <w:pPr>
        <w:spacing w:before="20" w:after="20" w:line="360" w:lineRule="auto"/>
        <w:ind w:left="200"/>
      </w:pPr>
      <w:r>
        <w:rPr>
          <w:sz w:val="19"/>
          <w:szCs w:val="19"/>
        </w:rPr>
        <w:t xml:space="preserve">Expect the applied overhead in ending WIP, finished goods and COGS, and an under- or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amount. </w:t>
      </w:r>
      <w:r>
        <w:rPr>
          <w:sz w:val="19"/>
          <w:szCs w:val="19"/>
        </w:rPr>
        <w:t xml:space="preserve"/>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each share from applied overhead, then say whether income rises or falls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with a write-off.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compared   ·   overapplied   ·   methods   ·   Compute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 FY2026 (normal costing, whole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tcMar>
              <w:top w:type="dxa" w:w="50"/>
              <w:left w:type="dxa" w:w="110"/>
              <w:bottom w:type="dxa" w:w="50"/>
              <w:right w:type="dxa" w:w="110"/>
            </w:tcMar>
          </w:tcPr>
          <w:p>
            <w:pPr>
              <w:spacing w:before="28" w:after="28"/>
            </w:pPr>
            <w:r>
              <w:rPr>
                <w:sz w:val="15"/>
                <w:szCs w:val="15"/>
              </w:rPr>
              <w:t xml:space="preserve">Budgeted fixed overhead</w:t>
            </w:r>
          </w:p>
        </w:tc>
        <w:tc>
          <w:tcPr>
            <w:tcW w:type="pct" w:w="2400"/>
            <w:tcMar>
              <w:top w:type="dxa" w:w="50"/>
              <w:left w:type="dxa" w:w="110"/>
              <w:bottom w:type="dxa" w:w="50"/>
              <w:right w:type="dxa" w:w="110"/>
            </w:tcMar>
          </w:tcPr>
          <w:p>
            <w:pPr>
              <w:spacing w:before="28" w:after="28"/>
            </w:pPr>
            <w:r>
              <w:rPr>
                <w:sz w:val="15"/>
                <w:szCs w:val="15"/>
              </w:rPr>
              <w:t xml:space="preserve">1,650,000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Normal capacity (Orontes policy)</w:t>
            </w:r>
          </w:p>
        </w:tc>
        <w:tc>
          <w:tcPr>
            <w:tcW w:type="pct" w:w="2400"/>
            <w:shd w:fill="FBFAF6" w:val="clear"/>
            <w:tcMar>
              <w:top w:type="dxa" w:w="50"/>
              <w:left w:type="dxa" w:w="110"/>
              <w:bottom w:type="dxa" w:w="50"/>
              <w:right w:type="dxa" w:w="110"/>
            </w:tcMar>
          </w:tcPr>
          <w:p>
            <w:pPr>
              <w:spacing w:before="28" w:after="28"/>
            </w:pPr>
            <w:r>
              <w:rPr>
                <w:sz w:val="15"/>
                <w:szCs w:val="15"/>
              </w:rPr>
              <w:t xml:space="preserve">16,500 machine hours</w:t>
            </w:r>
          </w:p>
        </w:tc>
      </w:tr>
      <w:tr>
        <w:tc>
          <w:tcPr>
            <w:tcW w:type="pct" w:w="2600"/>
            <w:tcMar>
              <w:top w:type="dxa" w:w="50"/>
              <w:left w:type="dxa" w:w="110"/>
              <w:bottom w:type="dxa" w:w="50"/>
              <w:right w:type="dxa" w:w="110"/>
            </w:tcMar>
          </w:tcPr>
          <w:p>
            <w:pPr>
              <w:spacing w:before="28" w:after="28"/>
            </w:pPr>
            <w:r>
              <w:rPr>
                <w:sz w:val="15"/>
                <w:szCs w:val="15"/>
              </w:rPr>
              <w:t xml:space="preserve">Practical capacity</w:t>
            </w:r>
          </w:p>
        </w:tc>
        <w:tc>
          <w:tcPr>
            <w:tcW w:type="pct" w:w="2400"/>
            <w:tcMar>
              <w:top w:type="dxa" w:w="50"/>
              <w:left w:type="dxa" w:w="110"/>
              <w:bottom w:type="dxa" w:w="50"/>
              <w:right w:type="dxa" w:w="110"/>
            </w:tcMar>
          </w:tcPr>
          <w:p>
            <w:pPr>
              <w:spacing w:before="28" w:after="28"/>
            </w:pPr>
            <w:r>
              <w:rPr>
                <w:sz w:val="15"/>
                <w:szCs w:val="15"/>
              </w:rPr>
              <w:t xml:space="preserve">20,000 machine hours</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Variable overhead rate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(30)</w:t>
            </w:r>
          </w:p>
        </w:tc>
      </w:tr>
      <w:tr>
        <w:tc>
          <w:tcPr>
            <w:tcW w:type="pct" w:w="2600"/>
            <w:tcMar>
              <w:top w:type="dxa" w:w="50"/>
              <w:left w:type="dxa" w:w="110"/>
              <w:bottom w:type="dxa" w:w="50"/>
              <w:right w:type="dxa" w:w="110"/>
            </w:tcMar>
          </w:tcPr>
          <w:p>
            <w:pPr>
              <w:spacing w:before="28" w:after="28"/>
            </w:pPr>
            <w:r>
              <w:rPr>
                <w:sz w:val="15"/>
                <w:szCs w:val="15"/>
              </w:rPr>
              <w:t xml:space="preserve">Actual machine hours</w:t>
            </w:r>
          </w:p>
        </w:tc>
        <w:tc>
          <w:tcPr>
            <w:tcW w:type="pct" w:w="2400"/>
            <w:tcMar>
              <w:top w:type="dxa" w:w="50"/>
              <w:left w:type="dxa" w:w="110"/>
              <w:bottom w:type="dxa" w:w="50"/>
              <w:right w:type="dxa" w:w="110"/>
            </w:tcMar>
          </w:tcPr>
          <w:p>
            <w:pPr>
              <w:spacing w:before="28" w:after="28"/>
            </w:pPr>
            <w:r>
              <w:rPr>
                <w:sz w:val="15"/>
                <w:szCs w:val="15"/>
              </w:rPr>
              <w:t xml:space="preserve">16,000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Actual fixed overhead / actual variable overhead</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600"/>
            <w:tcMar>
              <w:top w:type="dxa" w:w="50"/>
              <w:left w:type="dxa" w:w="110"/>
              <w:bottom w:type="dxa" w:w="50"/>
              <w:right w:type="dxa" w:w="110"/>
            </w:tcMar>
          </w:tcPr>
          <w:p>
            <w:pPr>
              <w:spacing w:before="28" w:after="28"/>
            </w:pPr>
            <w:r>
              <w:rPr>
                <w:sz w:val="15"/>
                <w:szCs w:val="15"/>
              </w:rPr>
              <w:t xml:space="preserve">Machine hours in ending WIP / ending FG / COGS</w:t>
            </w:r>
          </w:p>
        </w:tc>
        <w:tc>
          <w:tcPr>
            <w:tcW w:type="pct" w:w="2400"/>
            <w:tcMar>
              <w:top w:type="dxa" w:w="50"/>
              <w:left w:type="dxa" w:w="110"/>
              <w:bottom w:type="dxa" w:w="50"/>
              <w:right w:type="dxa" w:w="110"/>
            </w:tcMar>
          </w:tcPr>
          <w:p>
            <w:pPr>
              <w:spacing w:before="28" w:after="28"/>
            </w:pPr>
            <w:r>
              <w:rPr>
                <w:sz w:val="15"/>
                <w:szCs w:val="15"/>
              </w:rPr>
              <w:t xml:space="preserve">800 / 2,400 / 12,800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Unadjusted balances: WIP / FG / COGS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600"/>
            <w:tcMar>
              <w:top w:type="dxa" w:w="50"/>
              <w:left w:type="dxa" w:w="110"/>
              <w:bottom w:type="dxa" w:w="50"/>
              <w:right w:type="dxa" w:w="110"/>
            </w:tcMar>
          </w:tcPr>
          <w:p>
            <w:pPr>
              <w:spacing w:before="28" w:after="28"/>
            </w:pPr>
            <w:r>
              <w:rPr>
                <w:sz w:val="15"/>
                <w:szCs w:val="15"/>
              </w:rPr>
              <w:t xml:space="preserve">Materiality policy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400,000 / 900,000 / 9,000,000   ·   1,660,000 / 820,000   ·   $50 per machine hour   ·   2% of applied overhead   ·   Applied OH in balance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89"/>
        <w:gridCol w:w="491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42"/>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558"/>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42"/>
            <w:tcMar>
              <w:top w:type="dxa" w:w="50"/>
              <w:left w:type="dxa" w:w="110"/>
              <w:bottom w:type="dxa" w:w="50"/>
              <w:right w:type="dxa" w:w="110"/>
            </w:tcMar>
          </w:tcPr>
          <w:p>
            <w:pPr>
              <w:spacing w:before="28" w:after="28"/>
            </w:pPr>
            <w:r>
              <w:rPr>
                <w:sz w:val="15"/>
                <w:szCs w:val="15"/>
              </w:rPr>
              <w:t xml:space="preserve">Finished goods share</w:t>
            </w:r>
          </w:p>
        </w:tc>
        <w:tc>
          <w:tcPr>
            <w:tcW w:type="pct" w:w="2558"/>
            <w:shd w:fill="FFFFFF" w:val="clear"/>
            <w:tcMar>
              <w:top w:type="dxa" w:w="50"/>
              <w:left w:type="dxa" w:w="110"/>
              <w:bottom w:type="dxa" w:w="50"/>
              <w:right w:type="dxa" w:w="110"/>
            </w:tcMar>
          </w:tcPr>
          <w:p>
            <w:pPr>
              <w:spacing w:before="46" w:after="46"/>
            </w:pPr>
            <w:r>
              <w:rPr>
                <w:b/>
                <w:bCs/>
                <w:color w:val="8186EF"/>
                <w:sz w:val="14"/>
                <w:szCs w:val="14"/>
              </w:rPr>
              <w:t xml:space="preserve">(34)</w:t>
            </w:r>
          </w:p>
        </w:tc>
      </w:tr>
      <w:tr>
        <w:tc>
          <w:tcPr>
            <w:tcW w:type="pct" w:w="2442"/>
            <w:shd w:fill="FBFAF6" w:val="clear"/>
            <w:tcMar>
              <w:top w:type="dxa" w:w="50"/>
              <w:left w:type="dxa" w:w="110"/>
              <w:bottom w:type="dxa" w:w="50"/>
              <w:right w:type="dxa" w:w="110"/>
            </w:tcMar>
          </w:tcPr>
          <w:p>
            <w:pPr>
              <w:spacing w:before="28" w:after="28"/>
            </w:pPr>
            <w:r>
              <w:rPr>
                <w:sz w:val="15"/>
                <w:szCs w:val="15"/>
              </w:rPr>
              <w:t xml:space="preserve">COGS share</w:t>
            </w:r>
          </w:p>
        </w:tc>
        <w:tc>
          <w:tcPr>
            <w:tcW w:type="pct" w:w="2558"/>
            <w:shd w:fill="FBFAF6" w:val="clear"/>
            <w:tcMar>
              <w:top w:type="dxa" w:w="50"/>
              <w:left w:type="dxa" w:w="110"/>
              <w:bottom w:type="dxa" w:w="50"/>
              <w:right w:type="dxa" w:w="110"/>
            </w:tcMar>
          </w:tcPr>
          <w:p>
            <w:pPr>
              <w:spacing w:before="28" w:after="28"/>
            </w:pPr>
            <w:r>
              <w:rPr>
                <w:sz w:val="15"/>
                <w:szCs w:val="15"/>
              </w:rPr>
              <w:t xml:space="preserve">70% × 230,000 = 161,000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20% × 230,000 = 46,000   ·   70% × 230,000 = 161,000</w:t>
            </w:r>
          </w:p>
        </w:tc>
      </w:tr>
    </w:tbl>
    <w:p/>
    <w:p>
      <w:pPr>
        <w:pageBreakBefore w:val="true"/>
        <w:spacing w:after="0"/>
      </w:pPr>
      <w:r>
        <w:rPr>
          <w:sz w:val="2"/>
        </w:rPr>
        <w:t xml:space="preserve"> </w:t>
      </w:r>
    </w:p>
    <w:p>
      <w:pPr>
        <w:spacing w:before="44" w:after="10"/>
      </w:pPr>
      <w:r>
        <w:rPr>
          <w:b/>
          <w:bCs/>
          <w:color w:val="353A7C"/>
          <w:sz w:val="18"/>
          <w:szCs w:val="18"/>
        </w:rPr>
        <w:t xml:space="preserve">Beverages cost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overapplied overhead   ·   Depreciation of the bottling line   ·   Cleaning chemicals   ·   Service department charges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proration   ·   التوزيع النسبي</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underapplied overhead</w:t>
            </w:r>
          </w:p>
        </w:tc>
        <w:tc>
          <w:tcPr>
            <w:tcW w:type="pct" w:w="2600"/>
            <w:tcMar>
              <w:top w:type="dxa" w:w="50"/>
              <w:left w:type="dxa" w:w="110"/>
              <w:bottom w:type="dxa" w:w="50"/>
              <w:right w:type="dxa" w:w="110"/>
            </w:tcMar>
          </w:tcPr>
          <w:p>
            <w:pPr>
              <w:spacing w:before="26" w:after="26"/>
            </w:pPr>
            <w:r>
              <w:rPr>
                <w:color w:val="232733"/>
                <w:sz w:val="16"/>
                <w:szCs w:val="16"/>
              </w:rPr>
              <w:t xml:space="preserve">نقص التحميل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proration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التوزيع النسبي</w:t>
            </w:r>
          </w:p>
        </w:tc>
      </w:tr>
      <w:tr>
        <w:tc>
          <w:tcPr>
            <w:tcW w:type="pct" w:w="2400"/>
            <w:tcMar>
              <w:top w:type="dxa" w:w="50"/>
              <w:left w:type="dxa" w:w="110"/>
              <w:bottom w:type="dxa" w:w="50"/>
              <w:right w:type="dxa" w:w="110"/>
            </w:tcMar>
          </w:tcPr>
          <w:p>
            <w:pPr>
              <w:spacing w:before="26" w:after="26"/>
            </w:pPr>
            <w:r>
              <w:rPr>
                <w:color w:val="232733"/>
                <w:sz w:val="16"/>
                <w:szCs w:val="16"/>
              </w:rPr>
              <w:t xml:space="preserve">denominator level</w:t>
            </w:r>
          </w:p>
        </w:tc>
        <w:tc>
          <w:tcPr>
            <w:tcW w:type="pct" w:w="2600"/>
            <w:tcMar>
              <w:top w:type="dxa" w:w="50"/>
              <w:left w:type="dxa" w:w="110"/>
              <w:bottom w:type="dxa" w:w="50"/>
              <w:right w:type="dxa" w:w="110"/>
            </w:tcMar>
          </w:tcPr>
          <w:p>
            <w:pPr>
              <w:spacing w:before="26" w:after="26"/>
            </w:pPr>
            <w:r>
              <w:rPr>
                <w:color w:val="232733"/>
                <w:sz w:val="16"/>
                <w:szCs w:val="16"/>
              </w:rPr>
              <w:t xml:space="preserve">مستوى الطاقة المستخدم في المقام</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8.6  Extended Example 8A: Tahini &amp; Spreads closes 2027</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analyzes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prorates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Selling and administrative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previews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Proration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before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process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overapplied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causes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Compute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compared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$50 per machine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methods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1,660,000 / 820,000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production-volume</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400,000 / 900,000 / 9,000,000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2% of applied overhead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variances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20% × 230,000 = 46,000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Ending finished goods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Depreciation of the bottling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Manufacturing Overhead Applied</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Service department charges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Work-in-Process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Cleaning chemicals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Manufacturing Overhead Control</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proration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analyzes the year's underapplied overhead, prorates it, records the closing entry and compares the result with a write-off. The proration and its effect on income are exam-core; the variance split previews Book 3. Rate: $30 per machine hour, set at normal capacity of 100,000 hours. Actual: 92,000 machine hours; fixed overhead $30,000 above budget; variable overhead $8,000 above the flexible budget. Balances before closing: work in process $690,000, finished goods $1,380,000, cost of goods sold $6,090,000. Find the underapplied amount and its causes, test materiality, prorate on applied overhead, record the entry and compare the income effect of the two methods. Fixed rate: $2,400,000 ÷ 100,000 hours = $24; plus $6 variable = $30 per machine hour. Applied: 92,000 × $30 = $2,760,000. Materiality: 230,000 ÷ 2,760,000 = 8.3%, above the 2% policy, so the difference is prorated.</w:t>
      </w:r>
    </w:p>
    <w:p>
      <w:pPr>
        <w:spacing w:before="20" w:after="20"/>
        <w:ind w:left="240" w:hanging="240"/>
      </w:pPr>
      <w:r>
        <w:rPr>
          <w:b/>
          <w:bCs/>
          <w:color w:val="353A7C"/>
          <w:sz w:val="15"/>
          <w:szCs w:val="15"/>
        </w:rPr>
        <w:t xml:space="preserve">Summary 2   </w:t>
      </w:r>
      <w:r>
        <w:rPr>
          <w:color w:val="6B7280"/>
          <w:sz w:val="15"/>
          <w:szCs w:val="15"/>
        </w:rPr>
        <w:t xml:space="preserve">Most of it, $192,000, is the production-volume effect: fixed overhead was budgeted for normal capacity but applied to only 92,000 hours. Spending adds $30,000 and variable overhead $8,000. Book 3 calls these variances.</w:t>
      </w:r>
    </w:p>
    <w:p>
      <w:pPr>
        <w:spacing w:before="20" w:after="20"/>
        <w:ind w:left="240" w:hanging="240"/>
      </w:pPr>
      <w:r>
        <w:rPr>
          <w:b/>
          <w:bCs/>
          <w:color w:val="353A7C"/>
          <w:sz w:val="15"/>
          <w:szCs w:val="15"/>
        </w:rPr>
        <w:t xml:space="preserve">Summary 3   </w:t>
      </w:r>
      <w:r>
        <w:rPr>
          <w:color w:val="6B7280"/>
          <w:sz w:val="15"/>
          <w:szCs w:val="15"/>
        </w:rPr>
        <w:t xml:space="preserve">Proration leaves $69,000 of the underapplied overhead in inventory, so operating income is $69,000 higher than with a write-off. The cost reaches the income statement later, when the inventory is sold.</w:t>
      </w:r>
    </w:p>
    <w:p>
      <w:pPr>
        <w:spacing w:before="20" w:after="20"/>
        <w:ind w:left="240" w:hanging="240"/>
      </w:pPr>
      <w:r>
        <w:rPr>
          <w:b/>
          <w:bCs/>
          <w:color w:val="353A7C"/>
          <w:sz w:val="15"/>
          <w:szCs w:val="15"/>
        </w:rPr>
        <w:t xml:space="preserve">Summary 4   </w:t>
      </w:r>
      <w:r>
        <w:rPr>
          <w:color w:val="6B7280"/>
          <w:sz w:val="15"/>
          <w:szCs w:val="15"/>
        </w:rPr>
        <w:t xml:space="preserve">Parts of the difference: $30,000 + $192,000 + $8,000 = $230,000. Proration: $23,000 + $46,000 + $161,000 = $230,000. Income effect: $23,000 + $46,000 = $69,000 kept in inventory. After closing: MOH Control and MOH Applied are both zero.</w:t>
      </w:r>
    </w:p>
    <w:p>
      <w:pPr>
        <w:spacing w:before="20" w:after="20"/>
        <w:ind w:left="240" w:hanging="240"/>
      </w:pPr>
      <w:r>
        <w:rPr>
          <w:b/>
          <w:bCs/>
          <w:color w:val="353A7C"/>
          <w:sz w:val="15"/>
          <w:szCs w:val="15"/>
        </w:rPr>
        <w:t xml:space="preserve">Summary 5   </w:t>
      </w:r>
      <w:r>
        <w:rPr>
          <w:color w:val="6B7280"/>
          <w:sz w:val="15"/>
          <w:szCs w:val="15"/>
        </w:rPr>
        <w:t xml:space="preserve">Expect the applied overhead in ending WIP, finished goods and COGS, and an under- or overapplied amount. Compute each share from applied overhead, then say whether income rises or falls compared with a write-off.</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8.1 · Plantwide, departmental and cost-driver rates</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8.2 · Fixed overhead</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8.3 · The allocation base and the denominator</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8.4 · Why overhead is over- or under-applied</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8.5 · Closing the difference at year-end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8.6 · Extended Example 8A: Tahini &amp; Spreads closes 2027</w:t>
          </w:r>
        </w:p>
      </w:tc>
      <w:tc>
        <w:tcPr>
          <w:tcW w:type="pct" w:w="1400"/>
          <w:tcMar>
            <w:top w:type="dxa" w:w="-30"/>
            <w:left w:type="dxa" w:w="30"/>
            <w:bottom w:type="dxa" w:w="-30"/>
            <w:right w:type="dxa" w:w="30"/>
          </w:tcMar>
        </w:tcPr>
        <w:p>
          <w:pPr>
            <w:jc w:val="right"/>
          </w:pPr>
          <w:r>
            <w:rPr>
              <w:color w:val="6B7280"/>
              <w:sz w:val="16"/>
              <w:szCs w:val="16"/>
            </w:rPr>
            <w:t xml:space="preserve">Handout 8.6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f0fd4753edd1ede433e30345d3ff7ede89f52a3.png" Type="http://schemas.openxmlformats.org/officeDocument/2006/relationships/image"/><Relationship Id="rId102" Target="media/f9b3109469df8f0ec54f3cffceddc72831e286f4.png" Type="http://schemas.openxmlformats.org/officeDocument/2006/relationships/image"/><Relationship Id="rId103" Target="media/6a304302da107d71c7a06dfb985bb4a903c58553.png" Type="http://schemas.openxmlformats.org/officeDocument/2006/relationships/image"/><Relationship Id="rId104" Target="media/986762526fa13e1327f18933828ca4016b8203f6.png" Type="http://schemas.openxmlformats.org/officeDocument/2006/relationships/image"/><Relationship Id="rId105" Target="media/6209d2643a91b1ec594bb0321a9abde90f4c179b.png" Type="http://schemas.openxmlformats.org/officeDocument/2006/relationships/image"/><Relationship Id="rId106" Target="media/ab5c0e3be42c5d876bb70b9c74a34d33bb94c9e0.png" Type="http://schemas.openxmlformats.org/officeDocument/2006/relationships/image"/><Relationship Id="rId107" Target="media/5022cbd3b6f7a72c30d278ddd54280d86009af82.png" Type="http://schemas.openxmlformats.org/officeDocument/2006/relationships/image"/><Relationship Id="rId108" Target="media/bed5bafe54356162567ea844836ab8e6c72b1ed2.png" Type="http://schemas.openxmlformats.org/officeDocument/2006/relationships/image"/><Relationship Id="rId109" Target="media/e82a83130612ccb2a89aa113f2c96ce286b4ee23.png" Type="http://schemas.openxmlformats.org/officeDocument/2006/relationships/image"/><Relationship Id="rId110" Target="media/3899e40eb7cb6692eaa1a936da2f5699cc37fc9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8</dc:title>
  <dc:subject>Summary handouts</dc:subject>
  <cp:category>Student Book</cp:category>
</cp:coreProperties>
</file>