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Why allocate service department costs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reciprocal method   ·   Why allocate service department costs   ·   Extended Example 10A: Orontes allocates 2027 s   ·   Choosing allocation bases</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A service department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departments but does not make products: at Orontes these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the Quality Lab and HR.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works on the products: the Oils, Tahini &amp; Spreads and Beverages divisions. </w:t>
      </w:r>
      <w:r>
        <w:rPr>
          <w:sz w:val="19"/>
          <w:szCs w:val="19"/>
        </w:rPr>
        <w:t xml:space="preserve">Service costs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three reasons. </w:t>
      </w:r>
      <w:r>
        <w:rPr>
          <w:sz w:val="19"/>
          <w:szCs w:val="19"/>
        </w:rPr>
        <w:t xml:space="preserve">Products must carry their full cost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pricing. </w:t>
      </w:r>
      <w:r>
        <w:rPr>
          <w:sz w:val="19"/>
          <w:szCs w:val="19"/>
        </w:rPr>
        <w:t xml:space="preserve">Users become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a service has a price. </w:t>
      </w:r>
      <w:r>
        <w:rPr>
          <w:sz w:val="19"/>
          <w:szCs w:val="19"/>
        </w:rPr>
        <w:t xml:space="preserve">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an internal service with an outside supplier. </w:t>
      </w:r>
      <w:r>
        <w:rPr>
          <w:sz w:val="19"/>
          <w:szCs w:val="19"/>
        </w:rPr>
        <w:t xml:space="preserve">Service departments also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careful   ·   production   ·   managers   ·   Beverages   ·   allocated   ·   inventory   ·   Maintenance   ·   supports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service department</w:t>
            </w:r>
          </w:p>
        </w:tc>
        <w:tc>
          <w:tcPr>
            <w:tcW w:type="pct" w:w="2400"/>
            <w:tcMar>
              <w:top w:type="dxa" w:w="50"/>
              <w:left w:type="dxa" w:w="110"/>
              <w:bottom w:type="dxa" w:w="50"/>
              <w:right w:type="dxa" w:w="110"/>
            </w:tcMar>
          </w:tcPr>
          <w:p>
            <w:pPr>
              <w:spacing w:before="26" w:after="26"/>
            </w:pPr>
            <w:r>
              <w:rPr>
                <w:color w:val="232733"/>
                <w:sz w:val="16"/>
                <w:szCs w:val="16"/>
              </w:rPr>
              <w:t xml:space="preserve">مركز الخدمات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department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مركز الإنتاج</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Why allocate service department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 allocation bases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reciprocal method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Orontes allocates 2027 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service department supports other departments but does not make products: at Orontes these are Maintenance, IT, the Quality Lab and HR. A production department works on the products: the Oils, Tahini &amp; Spreads and Beverages divisions. Service costs are allocated for three reasons. Products must carry their full cost for inventory and pricing. Users become careful when a service has a price. And managers can compare an internal service with an outside supplier. Service departments also serve each other.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Choosing allocation bases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base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 cause and effect: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makes the service department spend money. </w:t>
      </w:r>
      <w:r>
        <w:rPr>
          <w:sz w:val="19"/>
          <w:szCs w:val="19"/>
        </w:rPr>
        <w:t xml:space="preserve">Maintenance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 maintenance hours, the Quality Lab on test hours and HR on headcount. </w:t>
      </w:r>
      <w:r>
        <w:rPr>
          <w:sz w:val="19"/>
          <w:szCs w:val="19"/>
        </w:rPr>
        <w:t xml:space="preserve">Where no causal base exists,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benefit received or ability to bear, but these are weaker.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allocated   ·   activity   ·   managers   ·   ability   ·   should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3"/>
        <w:gridCol w:w="3788"/>
        <w:gridCol w:w="39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Allocation bases for the four service departments</w:t>
            </w:r>
          </w:p>
        </w:tc>
      </w:tr>
      <w:tr>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Service department</w:t>
            </w:r>
          </w:p>
        </w:tc>
        <w:tc>
          <w:tcPr>
            <w:tcW w:type="pct" w:w="1973"/>
            <w:shd w:fill="353A7C" w:val="clear"/>
            <w:tcMar>
              <w:top w:type="dxa" w:w="50"/>
              <w:left w:type="dxa" w:w="110"/>
              <w:bottom w:type="dxa" w:w="50"/>
              <w:right w:type="dxa" w:w="110"/>
            </w:tcMar>
          </w:tcPr>
          <w:p>
            <w:pPr>
              <w:spacing w:before="30" w:after="30"/>
            </w:pPr>
            <w:r>
              <w:rPr>
                <w:b/>
                <w:bCs/>
                <w:color w:val="FFFFFF"/>
                <w:sz w:val="15"/>
                <w:szCs w:val="15"/>
              </w:rPr>
              <w:t xml:space="preserve">Allocation base</w:t>
            </w:r>
          </w:p>
        </w:tc>
        <w:tc>
          <w:tcPr>
            <w:tcW w:type="pct" w:w="2077"/>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950"/>
            <w:tcMar>
              <w:top w:type="dxa" w:w="50"/>
              <w:left w:type="dxa" w:w="110"/>
              <w:bottom w:type="dxa" w:w="50"/>
              <w:right w:type="dxa" w:w="110"/>
            </w:tcMar>
          </w:tcPr>
          <w:p>
            <w:pPr>
              <w:spacing w:before="28" w:after="28"/>
            </w:pPr>
            <w:r>
              <w:rPr>
                <w:sz w:val="15"/>
                <w:szCs w:val="15"/>
              </w:rPr>
              <w:t xml:space="preserve">Maintenance</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77"/>
            <w:tcMar>
              <w:top w:type="dxa" w:w="50"/>
              <w:left w:type="dxa" w:w="110"/>
              <w:bottom w:type="dxa" w:w="50"/>
              <w:right w:type="dxa" w:w="110"/>
            </w:tcMar>
          </w:tcPr>
          <w:p>
            <w:pPr>
              <w:spacing w:before="28" w:after="28"/>
            </w:pPr>
            <w:r>
              <w:rPr>
                <w:sz w:val="15"/>
                <w:szCs w:val="15"/>
              </w:rPr>
              <w:t xml:space="preserve">Hours of work cause the cost</w:t>
            </w:r>
          </w:p>
        </w:tc>
      </w:tr>
      <w:tr>
        <w:tc>
          <w:tcPr>
            <w:tcW w:type="pct" w:w="950"/>
            <w:shd w:fill="FBFAF6" w:val="clear"/>
            <w:tcMar>
              <w:top w:type="dxa" w:w="50"/>
              <w:left w:type="dxa" w:w="110"/>
              <w:bottom w:type="dxa" w:w="50"/>
              <w:right w:type="dxa" w:w="110"/>
            </w:tcMar>
          </w:tcPr>
          <w:p>
            <w:pPr>
              <w:spacing w:before="28" w:after="28"/>
            </w:pPr>
            <w:r>
              <w:rPr>
                <w:sz w:val="15"/>
                <w:szCs w:val="15"/>
              </w:rPr>
              <w:t xml:space="preserve">IT</w:t>
            </w:r>
          </w:p>
        </w:tc>
        <w:tc>
          <w:tcPr>
            <w:tcW w:type="pct" w:w="1973"/>
            <w:shd w:fill="FBFAF6" w:val="clear"/>
            <w:tcMar>
              <w:top w:type="dxa" w:w="50"/>
              <w:left w:type="dxa" w:w="110"/>
              <w:bottom w:type="dxa" w:w="50"/>
              <w:right w:type="dxa" w:w="110"/>
            </w:tcMar>
          </w:tcPr>
          <w:p>
            <w:pPr>
              <w:spacing w:before="28" w:after="28"/>
            </w:pPr>
            <w:r>
              <w:rPr>
                <w:sz w:val="15"/>
                <w:szCs w:val="15"/>
              </w:rPr>
              <w:t xml:space="preserve">Share of systems use</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950"/>
            <w:tcMar>
              <w:top w:type="dxa" w:w="50"/>
              <w:left w:type="dxa" w:w="110"/>
              <w:bottom w:type="dxa" w:w="50"/>
              <w:right w:type="dxa" w:w="110"/>
            </w:tcMar>
          </w:tcPr>
          <w:p>
            <w:pPr>
              <w:spacing w:before="28" w:after="28"/>
            </w:pPr>
            <w:r>
              <w:rPr>
                <w:sz w:val="15"/>
                <w:szCs w:val="15"/>
              </w:rPr>
              <w:t xml:space="preserve">Quality Lab</w:t>
            </w:r>
          </w:p>
        </w:tc>
        <w:tc>
          <w:tcPr>
            <w:tcW w:type="pct" w:w="197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77"/>
            <w:tcMar>
              <w:top w:type="dxa" w:w="50"/>
              <w:left w:type="dxa" w:w="110"/>
              <w:bottom w:type="dxa" w:w="50"/>
              <w:right w:type="dxa" w:w="110"/>
            </w:tcMar>
          </w:tcPr>
          <w:p>
            <w:pPr>
              <w:spacing w:before="28" w:after="28"/>
            </w:pPr>
            <w:r>
              <w:rPr>
                <w:sz w:val="15"/>
                <w:szCs w:val="15"/>
              </w:rPr>
              <w:t xml:space="preserve">Each test uses lab time</w:t>
            </w:r>
          </w:p>
        </w:tc>
      </w:tr>
      <w:tr>
        <w:tc>
          <w:tcPr>
            <w:tcW w:type="pct" w:w="950"/>
            <w:shd w:fill="FBFAF6" w:val="clear"/>
            <w:tcMar>
              <w:top w:type="dxa" w:w="50"/>
              <w:left w:type="dxa" w:w="110"/>
              <w:bottom w:type="dxa" w:w="50"/>
              <w:right w:type="dxa" w:w="110"/>
            </w:tcMar>
          </w:tcPr>
          <w:p>
            <w:pPr>
              <w:spacing w:before="28" w:after="28"/>
            </w:pPr>
            <w:r>
              <w:rPr>
                <w:sz w:val="15"/>
                <w:szCs w:val="15"/>
              </w:rPr>
              <w:t xml:space="preserve">HR</w:t>
            </w:r>
          </w:p>
        </w:tc>
        <w:tc>
          <w:tcPr>
            <w:tcW w:type="pct" w:w="1973"/>
            <w:shd w:fill="FBFAF6" w:val="clear"/>
            <w:tcMar>
              <w:top w:type="dxa" w:w="50"/>
              <w:left w:type="dxa" w:w="110"/>
              <w:bottom w:type="dxa" w:w="50"/>
              <w:right w:type="dxa" w:w="110"/>
            </w:tcMar>
          </w:tcPr>
          <w:p>
            <w:pPr>
              <w:spacing w:before="28" w:after="28"/>
            </w:pPr>
            <w:r>
              <w:rPr>
                <w:sz w:val="15"/>
                <w:szCs w:val="15"/>
              </w:rPr>
              <w:t xml:space="preserve">Headcount at $200 a person</w:t>
            </w:r>
          </w:p>
        </w:tc>
        <w:tc>
          <w:tcPr>
            <w:tcW w:type="pct" w:w="2077"/>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maintenance hours (long-run plan)   ·   Hours of work cause the cost   ·   Test hours at $40 an hour   ·   Users, devices and tickets drive the cost   ·   Hiring, payroll and training follow people</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Quality Lab and HR serve only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their costs go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them: $400,000 at $40 a test hour and $312,000 at $200 a person.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deal with Maintenance and IT, which serve each 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methods   ·   Quality   ·   straight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Choosing allocation 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Test hours at $40 an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Hiring, payroll and training follow people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 of maintenance hours (long-run plan)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Users, devices and tickets drive the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base should follow cause and effect: the activity that makes the service department spend money. Maintenance is allocated on maintenance hours, the Quality Lab on test hours and HR on headcount. Where no causal base exists, managers use benefit received or ability to bear, but these are weaker.</w:t>
      </w:r>
    </w:p>
    <w:p>
      <w:pPr>
        <w:spacing w:before="20" w:after="20"/>
        <w:ind w:left="240" w:hanging="240"/>
      </w:pPr>
      <w:r>
        <w:rPr>
          <w:b/>
          <w:bCs/>
          <w:color w:val="353A7C"/>
          <w:sz w:val="15"/>
          <w:szCs w:val="15"/>
        </w:rPr>
        <w:t xml:space="preserve">Summary 2   </w:t>
      </w:r>
      <w:r>
        <w:rPr>
          <w:color w:val="6B7280"/>
          <w:sz w:val="15"/>
          <w:szCs w:val="15"/>
        </w:rPr>
        <w:t xml:space="preserve">Quality Lab and HR serve only the divisions, so their costs go straight to them: $400,000 at $40 a test hour and $312,000 at $200 a person. The methods below deal with Maintenance and IT, which serve each other.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The direct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ignores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service departments give each other. </w:t>
      </w:r>
      <w:r>
        <w:rPr>
          <w:sz w:val="19"/>
          <w:szCs w:val="19"/>
        </w:rPr>
        <w:t xml:space="preserve">Each service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is shared among the production departments only,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their use. </w:t>
      </w:r>
      <w:r>
        <w:rPr>
          <w:sz w:val="19"/>
          <w:szCs w:val="19"/>
        </w:rPr>
        <w:t xml:space="preserve">It is simple and common, but it is least accurate when service departments serve each other a lot.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   ·   direct   ·   services   ·   Maintenance's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direct method</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Maintenance's shares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50, 20 and 10, a total of 80, so Oils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50/80 of $880,000.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divisions   ·   unallocated</w:t>
            </w:r>
          </w:p>
        </w:tc>
      </w:tr>
    </w:tbl>
    <w:p/>
    <w:p>
      <w:pPr>
        <w:spacing w:before="44" w:after="10"/>
      </w:pPr>
      <w:r>
        <w:rPr>
          <w:b/>
          <w:bCs/>
          <w:color w:val="353A7C"/>
          <w:sz w:val="18"/>
          <w:szCs w:val="18"/>
        </w:rPr>
        <w:t xml:space="preserve">Worked example: the direct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rate   ·   Beverages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The shares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the production departments only. </w:t>
      </w:r>
      <w:r>
        <w:rPr>
          <w:sz w:val="19"/>
          <w:szCs w:val="19"/>
        </w:rPr>
        <w:t xml:space="preserve">Using the original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leave part of the cost unallocated.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proportion   ·   rescaled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The 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rescaled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ignores the services that service departments give each other. Each service department's cost is shared among the production departments only, in proportion to their use. It is simple and common, but it is least accurate when service departments serve each other a lot.</w:t>
      </w:r>
    </w:p>
    <w:p>
      <w:pPr>
        <w:spacing w:before="20" w:after="20"/>
        <w:ind w:left="240" w:hanging="240"/>
      </w:pPr>
      <w:r>
        <w:rPr>
          <w:b/>
          <w:bCs/>
          <w:color w:val="353A7C"/>
          <w:sz w:val="15"/>
          <w:szCs w:val="15"/>
        </w:rPr>
        <w:t xml:space="preserve">Summary 2   </w:t>
      </w:r>
      <w:r>
        <w:rPr>
          <w:color w:val="6B7280"/>
          <w:sz w:val="15"/>
          <w:szCs w:val="15"/>
        </w:rPr>
        <w:t xml:space="preserve">Maintenance's shares to the divisions are 50, 20 and 10, a total of 80, so Oils receives 50/80 of $880,000.</w:t>
      </w:r>
    </w:p>
    <w:p>
      <w:pPr>
        <w:spacing w:before="20" w:after="20"/>
        <w:ind w:left="240" w:hanging="240"/>
      </w:pPr>
      <w:r>
        <w:rPr>
          <w:b/>
          <w:bCs/>
          <w:color w:val="353A7C"/>
          <w:sz w:val="15"/>
          <w:szCs w:val="15"/>
        </w:rPr>
        <w:t xml:space="preserve">Summary 3   </w:t>
      </w:r>
      <w:r>
        <w:rPr>
          <w:color w:val="6B7280"/>
          <w:sz w:val="15"/>
          <w:szCs w:val="15"/>
        </w:rPr>
        <w:t xml:space="preserve">The shares are rescaled to the production departments only. Using the original percentages would leave part of the cost unallocated.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step-down method</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step-down method recognizes some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Service departments are allocated one at a time. </w:t>
      </w:r>
      <w:r>
        <w:rPr>
          <w:sz w:val="19"/>
          <w:szCs w:val="19"/>
        </w:rPr>
        <w:t xml:space="preserve">A department that has been allocated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nothing back. </w:t>
      </w:r>
      <w:r>
        <w:rPr>
          <w:sz w:val="19"/>
          <w:szCs w:val="19"/>
        </w:rPr>
        <w:t xml:space="preserve">Start with the department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other service departments the most. </w:t>
      </w:r>
      <w:r>
        <w:rPr>
          <w:sz w:val="19"/>
          <w:szCs w:val="19"/>
        </w:rPr>
        <w:t xml:space="preserve">Orontes starts with Maintenance: $176,000 goes to IT, so IT's pool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$576,000. </w:t>
      </w:r>
      <w:r>
        <w:rPr>
          <w:sz w:val="19"/>
          <w:szCs w:val="19"/>
        </w:rPr>
        <w:t xml:space="preserve">IT is then shared among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serves   ·   service-to-service   ·   becomes   ·   Orontes's   ·   divisions</w:t>
            </w:r>
          </w:p>
        </w:tc>
      </w:tr>
    </w:tbl>
    <w:p/>
    <w:p>
      <w:pPr>
        <w:spacing w:before="44" w:after="10"/>
      </w:pPr>
      <w:r>
        <w:rPr>
          <w:b/>
          <w:bCs/>
          <w:color w:val="353A7C"/>
          <w:sz w:val="18"/>
          <w:szCs w:val="18"/>
        </w:rPr>
        <w:t xml:space="preserve">The step-down method: Maintenance first, then IT</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(first receives from Maintenance)   ·   Oils   ·   direct method</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Step-down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policy method. </w:t>
      </w:r>
      <w:r>
        <w:rPr>
          <w:sz w:val="19"/>
          <w:szCs w:val="19"/>
        </w:rPr>
        <w:t xml:space="preserve">It is more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than the direct method, but the order matters and the link from IT back to Maintenance is still ignored.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accurate   ·   Orontes's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Use the new pool</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The second department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its own cost plus what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step 1: $576,000, not $400,000.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allocates   ·   received   ·   Orontes's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step-down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Oils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serves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allocates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IT (first receives from Maintenance)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step-down method recognizes some service-to-service links. Service departments are allocated one at a time. A department that has been allocated receives nothing back. Start with the department that serves other service departments the most. Orontes starts with Maintenance: $176,000 goes to IT, so IT's pool becomes $576,000. IT is then shared among the divisions only.</w:t>
      </w:r>
    </w:p>
    <w:p>
      <w:pPr>
        <w:spacing w:before="20" w:after="20"/>
        <w:ind w:left="240" w:hanging="240"/>
      </w:pPr>
      <w:r>
        <w:rPr>
          <w:b/>
          <w:bCs/>
          <w:color w:val="353A7C"/>
          <w:sz w:val="15"/>
          <w:szCs w:val="15"/>
        </w:rPr>
        <w:t xml:space="preserve">Summary 2   </w:t>
      </w:r>
      <w:r>
        <w:rPr>
          <w:color w:val="6B7280"/>
          <w:sz w:val="15"/>
          <w:szCs w:val="15"/>
        </w:rPr>
        <w:t xml:space="preserve">Step-down is Orontes's policy method. It is more accurate than the direct method, but the order matters and the link from IT back to Maintenance is still ignored.</w:t>
      </w:r>
    </w:p>
    <w:p>
      <w:pPr>
        <w:spacing w:before="20" w:after="20"/>
        <w:ind w:left="240" w:hanging="240"/>
      </w:pPr>
      <w:r>
        <w:rPr>
          <w:b/>
          <w:bCs/>
          <w:color w:val="353A7C"/>
          <w:sz w:val="15"/>
          <w:szCs w:val="15"/>
        </w:rPr>
        <w:t xml:space="preserve">Summary 3   </w:t>
      </w:r>
      <w:r>
        <w:rPr>
          <w:color w:val="6B7280"/>
          <w:sz w:val="15"/>
          <w:szCs w:val="15"/>
        </w:rPr>
        <w:t xml:space="preserve">The second department allocates its own cost plus what it received in step 1: $576,000, not $400,000.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The reciprocal method</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reciprocal method recognizes all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w:t>
      </w:r>
      <w:r>
        <w:rPr>
          <w:sz w:val="19"/>
          <w:szCs w:val="19"/>
        </w:rPr>
        <w:t xml:space="preserve">Write one equation for each service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total cost is its own cost plus its share of the other's total. </w:t>
      </w:r>
      <w:r>
        <w:rPr>
          <w:sz w:val="19"/>
          <w:szCs w:val="19"/>
        </w:rPr>
        <w:t xml:space="preserve">Solving the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Maintenance a total of $1,000,000 and IT $600,000. </w:t>
      </w:r>
      <w:r>
        <w:rPr>
          <w:sz w:val="19"/>
          <w:szCs w:val="19"/>
        </w:rPr>
        <w:t xml:space="preserve">These totals are larger than the original costs because they include the services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then takes its share of both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service-to-service   ·   exchanged   ·   original   ·   division   ·   equations   ·   department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reciprocal method: equations and allocation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Reciprocal method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Result</w:t>
            </w:r>
          </w:p>
        </w:tc>
      </w:tr>
      <w:tr>
        <w:tc>
          <w:tcPr>
            <w:tcW w:type="pct" w:w="2600"/>
            <w:tcMar>
              <w:top w:type="dxa" w:w="50"/>
              <w:left w:type="dxa" w:w="110"/>
              <w:bottom w:type="dxa" w:w="50"/>
              <w:right w:type="dxa" w:w="110"/>
            </w:tcMar>
          </w:tcPr>
          <w:p>
            <w:pPr>
              <w:spacing w:before="28" w:after="28"/>
            </w:pPr>
            <w:r>
              <w:rPr>
                <w:sz w:val="15"/>
                <w:szCs w:val="15"/>
              </w:rPr>
              <w:t xml:space="preserve">Maintenance equation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IT equation</w:t>
            </w:r>
          </w:p>
        </w:tc>
        <w:tc>
          <w:tcPr>
            <w:tcW w:type="pct" w:w="2400"/>
            <w:shd w:fill="FBFAF6" w:val="clear"/>
            <w:tcMar>
              <w:top w:type="dxa" w:w="50"/>
              <w:left w:type="dxa" w:w="110"/>
              <w:bottom w:type="dxa" w:w="50"/>
              <w:right w:type="dxa" w:w="110"/>
            </w:tcMar>
          </w:tcPr>
          <w:p>
            <w:pPr>
              <w:spacing w:before="28" w:after="28"/>
            </w:pPr>
            <w:r>
              <w:rPr>
                <w:sz w:val="15"/>
                <w:szCs w:val="15"/>
              </w:rPr>
              <w:t xml:space="preserve">I = 400,000 + 0.20 M</w:t>
            </w:r>
          </w:p>
        </w:tc>
      </w:tr>
      <w:tr>
        <w:tc>
          <w:tcPr>
            <w:tcW w:type="pct" w:w="2600"/>
            <w:tcMar>
              <w:top w:type="dxa" w:w="50"/>
              <w:left w:type="dxa" w:w="110"/>
              <w:bottom w:type="dxa" w:w="50"/>
              <w:right w:type="dxa" w:w="110"/>
            </w:tcMar>
          </w:tcPr>
          <w:p>
            <w:pPr>
              <w:spacing w:before="28" w:after="28"/>
            </w:pPr>
            <w:r>
              <w:rPr>
                <w:sz w:val="15"/>
                <w:szCs w:val="15"/>
              </w:rPr>
              <w:t xml:space="preserve">Substitute and solve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Oils: 50%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620,000</w:t>
            </w:r>
          </w:p>
        </w:tc>
      </w:tr>
      <w:tr>
        <w:tc>
          <w:tcPr>
            <w:tcW w:type="pct" w:w="2600"/>
            <w:tcMar>
              <w:top w:type="dxa" w:w="50"/>
              <w:left w:type="dxa" w:w="110"/>
              <w:bottom w:type="dxa" w:w="50"/>
              <w:right w:type="dxa" w:w="110"/>
            </w:tcMar>
          </w:tcPr>
          <w:p>
            <w:pPr>
              <w:spacing w:before="28" w:after="28"/>
            </w:pPr>
            <w:r>
              <w:rPr>
                <w:sz w:val="15"/>
                <w:szCs w:val="15"/>
              </w:rPr>
              <w:t xml:space="preserve">Tahini &amp; Spreads: 20% of M + 40% of I</w:t>
            </w:r>
          </w:p>
        </w:tc>
        <w:tc>
          <w:tcPr>
            <w:tcW w:type="pct" w:w="2400"/>
            <w:tcMar>
              <w:top w:type="dxa" w:w="50"/>
              <w:left w:type="dxa" w:w="110"/>
              <w:bottom w:type="dxa" w:w="50"/>
              <w:right w:type="dxa" w:w="110"/>
            </w:tcMar>
          </w:tcPr>
          <w:p>
            <w:pPr>
              <w:spacing w:before="28" w:after="28"/>
            </w:pPr>
            <w:r>
              <w:rPr>
                <w:sz w:val="15"/>
                <w:szCs w:val="15"/>
              </w:rPr>
              <w:t xml:space="preserve">440,000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Beverages: 10% of M + 20% of I</w:t>
            </w:r>
          </w:p>
        </w:tc>
        <w:tc>
          <w:tcPr>
            <w:tcW w:type="pct" w:w="2400"/>
            <w:shd w:fill="FBFAF6" w:val="clear"/>
            <w:tcMar>
              <w:top w:type="dxa" w:w="50"/>
              <w:left w:type="dxa" w:w="110"/>
              <w:bottom w:type="dxa" w:w="50"/>
              <w:right w:type="dxa" w:w="110"/>
            </w:tcMar>
          </w:tcPr>
          <w:p>
            <w:pPr>
              <w:spacing w:before="28" w:after="28"/>
            </w:pPr>
            <w:r>
              <w:rPr>
                <w:sz w:val="15"/>
                <w:szCs w:val="15"/>
              </w:rPr>
              <w:t xml:space="preserve">220,000</w:t>
            </w:r>
          </w:p>
        </w:tc>
      </w:tr>
      <w:tr>
        <w:tc>
          <w:tcPr>
            <w:tcW w:type="pct" w:w="2600"/>
            <w:tcMar>
              <w:top w:type="dxa" w:w="50"/>
              <w:left w:type="dxa" w:w="110"/>
              <w:bottom w:type="dxa" w:w="50"/>
              <w:right w:type="dxa" w:w="110"/>
            </w:tcMar>
          </w:tcPr>
          <w:p>
            <w:pPr>
              <w:spacing w:before="28" w:after="28"/>
            </w:pPr>
            <w:r>
              <w:rPr>
                <w:sz w:val="15"/>
                <w:szCs w:val="15"/>
              </w:rPr>
              <w:t xml:space="preserve">Total to divisions</w:t>
            </w:r>
          </w:p>
        </w:tc>
        <w:tc>
          <w:tcPr>
            <w:tcW w:type="pct" w:w="2400"/>
            <w:tcMar>
              <w:top w:type="dxa" w:w="50"/>
              <w:left w:type="dxa" w:w="110"/>
              <w:bottom w:type="dxa" w:w="50"/>
              <w:right w:type="dxa" w:w="110"/>
            </w:tcMar>
          </w:tcPr>
          <w:p>
            <w:pPr>
              <w:spacing w:before="28" w:after="28"/>
            </w:pPr>
            <w:r>
              <w:rPr>
                <w:sz w:val="15"/>
                <w:szCs w:val="15"/>
              </w:rPr>
              <w:t xml:space="preserve">1,280,000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 = 400,000 + 0.20 M   ·   M = 880,000 + 0.20 I   ·   M = 1,000,000; I = 600,000</w:t>
            </w:r>
          </w:p>
        </w:tc>
      </w:tr>
    </w:tbl>
    <w:p/>
    <w:p>
      <w:pPr>
        <w:spacing w:before="20" w:after="20" w:line="360" w:lineRule="auto"/>
        <w:ind w:left="200"/>
      </w:pPr>
      <w:r>
        <w:rPr>
          <w:sz w:val="19"/>
          <w:szCs w:val="19"/>
        </w:rPr>
        <w:t xml:space="preserve">It is the most accurate method but needs algebra, or matrix methods for many departments.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The reciprocal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service-to-service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 = 880,000 + 0.20 I</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 = 1,000,000; I = 600,000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reciprocal method recognizes all service-to-service links. Write one equation for each service department: its total cost is its own cost plus its share of the other's total. Solving the two equations gives Maintenance a total of $1,000,000 and IT $600,000. These totals are larger than the original costs because they include the services exchanged. Each division then takes its share of both totals.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Single, dual and budgeted rates</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charges one rate per hour for fixed and variable service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users need fewer hours than planned, the fixed cost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fewer hours, and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change moves cost to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method charges variable cost on actual use and fixed cost on the capacity each user planned for.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charges Maintenance at a budgeted rate of $40 per hour plus fixed shares of $560,000, so users do not pay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overspending. </w:t>
      </w:r>
      <w:r>
        <w:rPr>
          <w:sz w:val="19"/>
          <w:szCs w:val="19"/>
        </w:rPr>
        <w:t xml:space="preserve">The dual rate charged $860,000 and left only the $12,000 spending difference in Maintenance. </w:t>
      </w:r>
      <w:r>
        <w:rPr>
          <w:sz w:val="19"/>
          <w:szCs w:val="19"/>
        </w:rPr>
        <w:t xml:space="preserve">The single rate left $47,000, which mixes that spending difference with $35,000 of idle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user's   ·   Complete   ·   single-rate   ·   dual-rate   ·   together   ·   spread   ·   others   ·   Maintenance's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14"/>
        <w:gridCol w:w="21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Maintenance charges: dual rate compared with single rate</w:t>
            </w:r>
          </w:p>
        </w:tc>
      </w:tr>
      <w:tr>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Maintenance: actual cost 872,000</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Dual rate (budgeted)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Single rate ($110 per hour)</w:t>
            </w:r>
          </w:p>
        </w:tc>
      </w:tr>
      <w:tr>
        <w:tc>
          <w:tcPr>
            <w:tcW w:type="pct" w:w="1674"/>
            <w:tcMar>
              <w:top w:type="dxa" w:w="50"/>
              <w:left w:type="dxa" w:w="110"/>
              <w:bottom w:type="dxa" w:w="50"/>
              <w:right w:type="dxa" w:w="110"/>
            </w:tcMar>
          </w:tcPr>
          <w:p>
            <w:pPr>
              <w:spacing w:before="28" w:after="28"/>
            </w:pPr>
            <w:r>
              <w:rPr>
                <w:sz w:val="15"/>
                <w:szCs w:val="15"/>
              </w:rPr>
              <w:t xml:space="preserve">Fixed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with variable cost at one rate on actual hours</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Variable Maintenance cost</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included in the single rate</w:t>
            </w:r>
          </w:p>
        </w:tc>
      </w:tr>
      <w:tr>
        <w:tc>
          <w:tcPr>
            <w:tcW w:type="pct" w:w="1674"/>
            <w:tcMar>
              <w:top w:type="dxa" w:w="50"/>
              <w:left w:type="dxa" w:w="110"/>
              <w:bottom w:type="dxa" w:w="50"/>
              <w:right w:type="dxa" w:w="110"/>
            </w:tcMar>
          </w:tcPr>
          <w:p>
            <w:pPr>
              <w:spacing w:before="28" w:after="28"/>
            </w:pPr>
            <w:r>
              <w:rPr>
                <w:sz w:val="15"/>
                <w:szCs w:val="15"/>
              </w:rPr>
              <w:t xml:space="preserve">Amount charged to users</w:t>
            </w:r>
          </w:p>
        </w:tc>
        <w:tc>
          <w:tcPr>
            <w:tcW w:type="pct" w:w="1126"/>
            <w:tcMar>
              <w:top w:type="dxa" w:w="50"/>
              <w:left w:type="dxa" w:w="110"/>
              <w:bottom w:type="dxa" w:w="50"/>
              <w:right w:type="dxa" w:w="110"/>
            </w:tcMar>
          </w:tcPr>
          <w:p>
            <w:pPr>
              <w:spacing w:before="28" w:after="28"/>
            </w:pPr>
            <w:r>
              <w:rPr>
                <w:sz w:val="15"/>
                <w:szCs w:val="15"/>
              </w:rPr>
              <w:t xml:space="preserve">860,000</w:t>
            </w:r>
          </w:p>
        </w:tc>
        <w:tc>
          <w:tcPr>
            <w:tcW w:type="pct" w:w="2200"/>
            <w:tcMar>
              <w:top w:type="dxa" w:w="50"/>
              <w:left w:type="dxa" w:w="110"/>
              <w:bottom w:type="dxa" w:w="50"/>
              <w:right w:type="dxa" w:w="110"/>
            </w:tcMar>
          </w:tcPr>
          <w:p>
            <w:pPr>
              <w:spacing w:before="28" w:after="28"/>
            </w:pPr>
            <w:r>
              <w:rPr>
                <w:sz w:val="15"/>
                <w:szCs w:val="15"/>
              </w:rPr>
              <w:t xml:space="preserve">825,000</w:t>
            </w:r>
          </w:p>
        </w:tc>
      </w:tr>
      <w:tr>
        <w:tc>
          <w:tcPr>
            <w:tcW w:type="pct" w:w="1674"/>
            <w:shd w:fill="FBFAF6" w:val="clear"/>
            <w:tcMar>
              <w:top w:type="dxa" w:w="50"/>
              <w:left w:type="dxa" w:w="110"/>
              <w:bottom w:type="dxa" w:w="50"/>
              <w:right w:type="dxa" w:w="110"/>
            </w:tcMar>
          </w:tcPr>
          <w:p>
            <w:pPr>
              <w:spacing w:before="28" w:after="28"/>
            </w:pPr>
            <w:r>
              <w:rPr>
                <w:sz w:val="15"/>
                <w:szCs w:val="15"/>
              </w:rPr>
              <w:t xml:space="preserve">Left in Maintenance</w:t>
            </w:r>
          </w:p>
        </w:tc>
        <w:tc>
          <w:tcPr>
            <w:tcW w:type="pct" w:w="1126"/>
            <w:shd w:fill="FBFAF6" w:val="clear"/>
            <w:tcMar>
              <w:top w:type="dxa" w:w="50"/>
              <w:left w:type="dxa" w:w="110"/>
              <w:bottom w:type="dxa" w:w="50"/>
              <w:right w:type="dxa" w:w="110"/>
            </w:tcMar>
          </w:tcPr>
          <w:p>
            <w:pPr>
              <w:spacing w:before="28" w:after="28"/>
            </w:pPr>
            <w:r>
              <w:rPr>
                <w:sz w:val="15"/>
                <w:szCs w:val="15"/>
              </w:rPr>
              <w:t xml:space="preserve">12,000 (spending only)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hours × budgeted $40   ·   included in the single rate   ·   on long-run capacity shares: 560,000   ·   47,000 (spending 12,000 + unused capacity 35,000)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dual-rate charges</w:t>
            </w:r>
          </w:p>
        </w:tc>
      </w:tr>
    </w:tbl>
    <w:p/>
    <w:p>
      <w:pPr>
        <w:spacing w:before="20" w:after="20" w:line="360" w:lineRule="auto"/>
        <w:ind w:left="200"/>
      </w:pPr>
      <w:r>
        <w:rPr>
          <w:sz w:val="19"/>
          <w:szCs w:val="19"/>
        </w:rPr>
        <w:t xml:space="preserve">Complete the other two.</w:t>
      </w:r>
    </w:p>
    <w:p>
      <w:pPr>
        <w:pageBreakBefore w:val="true"/>
        <w:spacing w:after="0"/>
      </w:pPr>
      <w:r>
        <w:rPr>
          <w:sz w:val="2"/>
        </w:rPr>
        <w:t xml:space="preserve"> </w:t>
      </w:r>
    </w:p>
    <w:p>
      <w:pPr>
        <w:spacing w:before="44" w:after="10"/>
      </w:pPr>
      <w:r>
        <w:rPr>
          <w:b/>
          <w:bCs/>
          <w:color w:val="353A7C"/>
          <w:sz w:val="18"/>
          <w:szCs w:val="18"/>
        </w:rPr>
        <w:t xml:space="preserve">Your turn: dual-rate Maintenance charges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96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65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   Tahini &amp; Spreads   ·   step-down method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step-down method   ·   single-rate method   ·   budgeted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5"/>
        <w:gridCol w:w="49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4"/>
            <w:tcMar>
              <w:top w:type="dxa" w:w="50"/>
              <w:left w:type="dxa" w:w="110"/>
              <w:bottom w:type="dxa" w:w="50"/>
              <w:right w:type="dxa" w:w="110"/>
            </w:tcMar>
          </w:tcPr>
          <w:p>
            <w:pPr>
              <w:spacing w:before="26" w:after="26"/>
            </w:pPr>
            <w:r>
              <w:rPr>
                <w:color w:val="232733"/>
                <w:sz w:val="16"/>
                <w:szCs w:val="16"/>
              </w:rPr>
              <w:t xml:space="preserve">single-rate method</w:t>
            </w:r>
          </w:p>
        </w:tc>
        <w:tc>
          <w:tcPr>
            <w:tcW w:type="pct" w:w="2586"/>
            <w:tcMar>
              <w:top w:type="dxa" w:w="50"/>
              <w:left w:type="dxa" w:w="110"/>
              <w:bottom w:type="dxa" w:w="50"/>
              <w:right w:type="dxa" w:w="110"/>
            </w:tcMar>
          </w:tcPr>
          <w:p>
            <w:pPr>
              <w:spacing w:before="26" w:after="26"/>
            </w:pPr>
            <w:r>
              <w:rPr>
                <w:color w:val="232733"/>
                <w:sz w:val="16"/>
                <w:szCs w:val="16"/>
              </w:rPr>
              <w:t xml:space="preserve">طريقة المعدل الواحد</w:t>
            </w:r>
          </w:p>
        </w:tc>
      </w:tr>
      <w:tr>
        <w:tc>
          <w:tcPr>
            <w:tcW w:type="pct" w:w="2414"/>
            <w:shd w:fill="FBFAF6" w:val="clear"/>
            <w:tcMar>
              <w:top w:type="dxa" w:w="50"/>
              <w:left w:type="dxa" w:w="110"/>
              <w:bottom w:type="dxa" w:w="50"/>
              <w:right w:type="dxa" w:w="110"/>
            </w:tcMar>
          </w:tcPr>
          <w:p>
            <w:pPr>
              <w:spacing w:before="26" w:after="26"/>
            </w:pPr>
            <w:r>
              <w:rPr>
                <w:color w:val="232733"/>
                <w:sz w:val="16"/>
                <w:szCs w:val="16"/>
              </w:rPr>
              <w:t xml:space="preserve">dual-rate method</w:t>
            </w:r>
          </w:p>
        </w:tc>
        <w:tc>
          <w:tcPr>
            <w:tcW w:type="pct" w:w="2586"/>
            <w:shd w:fill="FBFAF6" w:val="clear"/>
            <w:tcMar>
              <w:top w:type="dxa" w:w="50"/>
              <w:left w:type="dxa" w:w="110"/>
              <w:bottom w:type="dxa" w:w="50"/>
              <w:right w:type="dxa" w:w="110"/>
            </w:tcMar>
          </w:tcPr>
          <w:p>
            <w:pPr>
              <w:spacing w:before="26" w:after="26"/>
            </w:pPr>
            <w:r>
              <w:rPr>
                <w:color w:val="232733"/>
                <w:sz w:val="16"/>
                <w:szCs w:val="16"/>
              </w:rPr>
              <w:t xml:space="preserve">طريقة المعدل المزدوج</w:t>
            </w:r>
          </w:p>
        </w:tc>
      </w:tr>
      <w:tr>
        <w:tc>
          <w:tcPr>
            <w:tcW w:type="pct" w:w="2414"/>
            <w:tcMar>
              <w:top w:type="dxa" w:w="50"/>
              <w:left w:type="dxa" w:w="110"/>
              <w:bottom w:type="dxa" w:w="50"/>
              <w:right w:type="dxa" w:w="110"/>
            </w:tcMar>
          </w:tcPr>
          <w:p>
            <w:pPr>
              <w:spacing w:before="26" w:after="26"/>
            </w:pPr>
            <w:r>
              <w:rPr>
                <w:color w:val="232733"/>
                <w:sz w:val="16"/>
                <w:szCs w:val="16"/>
              </w:rPr>
              <w:t xml:space="preserve">budgeted rate</w:t>
            </w:r>
          </w:p>
        </w:tc>
        <w:tc>
          <w:tcPr>
            <w:tcW w:type="pct" w:w="2586"/>
            <w:tcMar>
              <w:top w:type="dxa" w:w="50"/>
              <w:left w:type="dxa" w:w="110"/>
              <w:bottom w:type="dxa" w:w="50"/>
              <w:right w:type="dxa" w:w="110"/>
            </w:tcMar>
          </w:tcPr>
          <w:p>
            <w:pPr>
              <w:spacing w:before="26" w:after="26"/>
            </w:pPr>
            <w:r>
              <w:rPr>
                <w:color w:val="232733"/>
                <w:sz w:val="16"/>
                <w:szCs w:val="16"/>
              </w:rPr>
              <w:t xml:space="preserve">المعدل الموازني</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Single, dual and budgeted rates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single-rate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 long-run capacity shares: 560,000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actual hours × budgeted $40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47,000 (spending 12,000 + unused capacity 35,000)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dual-rate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single-rate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budgeted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single-rate method charges one rate per hour for fixed and variable service costs together. When users need fewer hours than planned, the fixed cost is spread over fewer hours, and one user's change moves cost to the others. A dual-rate method charges variable cost on actual use and fixed cost on the capacity each user planned for. Orontes charges Maintenance at a budgeted rate of $40 per hour plus fixed shares of $560,000, so users do not pay for Maintenance's overspending. The dual rate charged $860,000 and left only the $12,000 spending difference in Maintenance. The single rate left $47,000, which mixes that spending difference with $35,000 of idle capacity.</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10.7  Extended Example 10A: Orontes allocates 2027 service costs</w:t>
            </w:r>
          </w:p>
          <w:p>
            <w:pPr>
              <w:spacing w:before="0" w:after="46"/>
            </w:pPr>
            <w:r>
              <w:rPr>
                <w:color w:val="E8EAF6"/>
                <w:sz w:val="16"/>
                <w:szCs w:val="16"/>
              </w:rPr>
              <w:t xml:space="preserve">Chapter 10 · section 10.7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four service departments with the policy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records the entries and ties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the charges used in earlier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table is exam-core; the entries are for depth. </w:t>
      </w:r>
      <w:r>
        <w:rPr>
          <w:sz w:val="19"/>
          <w:szCs w:val="19"/>
        </w:rPr>
        <w:t xml:space="preserve">Service costs: Maintenance $880,000; IT $400,000; Quality Lab $400,000; HR $312,000; total $1,992,000. </w:t>
      </w:r>
      <w:r>
        <w:rPr>
          <w:sz w:val="19"/>
          <w:szCs w:val="19"/>
        </w:rPr>
        <w:t xml:space="preserve">Policy: step-down for Maintenance then IT; Quality Lab on test hours; HR 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Allocate Maintenance, then the enlarged IT pool, then Quality Lab and HR.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each step, check that every service account closes,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each division's total with its monthly charge. </w:t>
      </w:r>
      <w:r>
        <w:rPr>
          <w:sz w:val="19"/>
          <w:szCs w:val="19"/>
        </w:rPr>
        <w:t xml:space="preserve">Oils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$888,000, Tahini &amp; Spreads $690,000 and Beverages $414,000.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by twelve, these are the monthly service charges used in, 6 and 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headcount   ·   Record   ·   result   ·   allocates   ·   methods   ·   allocation   ·   chapters   ·   production   ·   compare   ·   receives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71"/>
        <w:gridCol w:w="1413"/>
        <w:gridCol w:w="1348"/>
        <w:gridCol w:w="1413"/>
        <w:gridCol w:w="1329"/>
        <w:gridCol w:w="1634"/>
        <w:gridCol w:w="1092"/>
      </w:tblGrid>
      <w:tr>
        <w:tc>
          <w:tcPr>
            <w:tcW w:type="pct" w:w="5000"/>
            <w:gridSpan w:val="7"/>
            <w:shd w:fill="353A7C" w:val="clear"/>
            <w:tcMar>
              <w:top w:type="dxa" w:w="60"/>
              <w:left w:type="dxa" w:w="120"/>
              <w:bottom w:type="dxa" w:w="60"/>
              <w:right w:type="dxa" w:w="120"/>
            </w:tcMar>
          </w:tcPr>
          <w:p>
            <w:pPr>
              <w:spacing w:before="40" w:after="40"/>
            </w:pPr>
            <w:r>
              <w:rPr>
                <w:b/>
                <w:bCs/>
                <w:color w:val="FFFFFF"/>
                <w:sz w:val="17"/>
                <w:szCs w:val="17"/>
              </w:rPr>
              <w:t xml:space="preserve">Extended Example: 2027 service allocation by division</w:t>
            </w:r>
          </w:p>
        </w:tc>
      </w:tr>
      <w:tr>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Division</w:t>
            </w:r>
          </w:p>
        </w:tc>
        <w:tc>
          <w:tcPr>
            <w:tcW w:type="pct" w:w="736"/>
            <w:shd w:fill="353A7C" w:val="clear"/>
            <w:tcMar>
              <w:top w:type="dxa" w:w="50"/>
              <w:left w:type="dxa" w:w="110"/>
              <w:bottom w:type="dxa" w:w="50"/>
              <w:right w:type="dxa" w:w="110"/>
            </w:tcMar>
          </w:tcPr>
          <w:p>
            <w:pPr>
              <w:spacing w:before="30" w:after="30"/>
            </w:pPr>
            <w:r>
              <w:rPr>
                <w:b/>
                <w:bCs/>
                <w:color w:val="FFFFFF"/>
                <w:sz w:val="15"/>
                <w:szCs w:val="15"/>
              </w:rPr>
              <w:t xml:space="preserve">Maintenance</w:t>
            </w:r>
          </w:p>
        </w:tc>
        <w:tc>
          <w:tcPr>
            <w:tcW w:type="pct" w:w="702"/>
            <w:shd w:fill="353A7C" w:val="clear"/>
            <w:tcMar>
              <w:top w:type="dxa" w:w="50"/>
              <w:left w:type="dxa" w:w="110"/>
              <w:bottom w:type="dxa" w:w="50"/>
              <w:right w:type="dxa" w:w="110"/>
            </w:tcMar>
          </w:tcPr>
          <w:p>
            <w:pPr>
              <w:spacing w:before="30" w:after="30"/>
            </w:pPr>
            <w:r>
              <w:rPr>
                <w:b/>
                <w:bCs/>
                <w:color w:val="FFFFFF"/>
                <w:sz w:val="15"/>
                <w:szCs w:val="15"/>
              </w:rPr>
              <w:t xml:space="preserve">IT</w:t>
            </w:r>
          </w:p>
        </w:tc>
        <w:tc>
          <w:tcPr>
            <w:tcW w:type="pct" w:w="736"/>
            <w:shd w:fill="353A7C" w:val="clear"/>
            <w:tcMar>
              <w:top w:type="dxa" w:w="50"/>
              <w:left w:type="dxa" w:w="110"/>
              <w:bottom w:type="dxa" w:w="50"/>
              <w:right w:type="dxa" w:w="110"/>
            </w:tcMar>
          </w:tcPr>
          <w:p>
            <w:pPr>
              <w:spacing w:before="30" w:after="30"/>
            </w:pPr>
            <w:r>
              <w:rPr>
                <w:b/>
                <w:bCs/>
                <w:color w:val="FFFFFF"/>
                <w:sz w:val="15"/>
                <w:szCs w:val="15"/>
              </w:rPr>
              <w:t xml:space="preserve">Quality Lab</w:t>
            </w:r>
          </w:p>
        </w:tc>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HR</w:t>
            </w:r>
          </w:p>
        </w:tc>
        <w:tc>
          <w:tcPr>
            <w:tcW w:type="pct" w:w="851"/>
            <w:shd w:fill="353A7C" w:val="clear"/>
            <w:tcMar>
              <w:top w:type="dxa" w:w="50"/>
              <w:left w:type="dxa" w:w="110"/>
              <w:bottom w:type="dxa" w:w="50"/>
              <w:right w:type="dxa" w:w="110"/>
            </w:tcMar>
          </w:tcPr>
          <w:p>
            <w:pPr>
              <w:spacing w:before="30" w:after="30"/>
            </w:pPr>
            <w:r>
              <w:rPr>
                <w:b/>
                <w:bCs/>
                <w:color w:val="FFFFFF"/>
                <w:sz w:val="15"/>
                <w:szCs w:val="15"/>
              </w:rPr>
              <w:t xml:space="preserve">Year</w:t>
            </w:r>
          </w:p>
        </w:tc>
        <w:tc>
          <w:tcPr>
            <w:tcW w:type="pct" w:w="569"/>
            <w:shd w:fill="353A7C" w:val="clear"/>
            <w:tcMar>
              <w:top w:type="dxa" w:w="50"/>
              <w:left w:type="dxa" w:w="110"/>
              <w:bottom w:type="dxa" w:w="50"/>
              <w:right w:type="dxa" w:w="110"/>
            </w:tcMar>
          </w:tcPr>
          <w:p>
            <w:pPr>
              <w:spacing w:before="30" w:after="30"/>
            </w:pPr>
            <w:r>
              <w:rPr>
                <w:b/>
                <w:bCs/>
                <w:color w:val="FFFFFF"/>
                <w:sz w:val="15"/>
                <w:szCs w:val="15"/>
              </w:rPr>
              <w:t xml:space="preserve">Month</w:t>
            </w:r>
          </w:p>
        </w:tc>
      </w:tr>
      <w:tr>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736"/>
            <w:tcMar>
              <w:top w:type="dxa" w:w="50"/>
              <w:left w:type="dxa" w:w="110"/>
              <w:bottom w:type="dxa" w:w="50"/>
              <w:right w:type="dxa" w:w="110"/>
            </w:tcMar>
          </w:tcPr>
          <w:p>
            <w:pPr>
              <w:spacing w:before="28" w:after="28"/>
            </w:pPr>
            <w:r>
              <w:rPr>
                <w:sz w:val="15"/>
                <w:szCs w:val="15"/>
              </w:rPr>
              <w:t xml:space="preserve">440,000</w:t>
            </w:r>
          </w:p>
        </w:tc>
        <w:tc>
          <w:tcPr>
            <w:tcW w:type="pct" w:w="702"/>
            <w:tcMar>
              <w:top w:type="dxa" w:w="50"/>
              <w:left w:type="dxa" w:w="110"/>
              <w:bottom w:type="dxa" w:w="50"/>
              <w:right w:type="dxa" w:w="110"/>
            </w:tcMar>
          </w:tcPr>
          <w:p>
            <w:pPr>
              <w:spacing w:before="28" w:after="28"/>
            </w:pPr>
            <w:r>
              <w:rPr>
                <w:sz w:val="15"/>
                <w:szCs w:val="15"/>
              </w:rPr>
              <w:t xml:space="preserve">144,000</w:t>
            </w:r>
          </w:p>
        </w:tc>
        <w:tc>
          <w:tcPr>
            <w:tcW w:type="pct" w:w="736"/>
            <w:tcMar>
              <w:top w:type="dxa" w:w="50"/>
              <w:left w:type="dxa" w:w="110"/>
              <w:bottom w:type="dxa" w:w="50"/>
              <w:right w:type="dxa" w:w="110"/>
            </w:tcMar>
          </w:tcPr>
          <w:p>
            <w:pPr>
              <w:spacing w:before="28" w:after="28"/>
            </w:pPr>
            <w:r>
              <w:rPr>
                <w:sz w:val="15"/>
                <w:szCs w:val="15"/>
              </w:rPr>
              <w:t xml:space="preserve">200,000</w:t>
            </w:r>
          </w:p>
        </w:tc>
        <w:tc>
          <w:tcPr>
            <w:tcW w:type="pct" w:w="692"/>
            <w:tcMar>
              <w:top w:type="dxa" w:w="50"/>
              <w:left w:type="dxa" w:w="110"/>
              <w:bottom w:type="dxa" w:w="50"/>
              <w:right w:type="dxa" w:w="110"/>
            </w:tcMar>
          </w:tcPr>
          <w:p>
            <w:pPr>
              <w:spacing w:before="28" w:after="28"/>
            </w:pPr>
            <w:r>
              <w:rPr>
                <w:sz w:val="15"/>
                <w:szCs w:val="15"/>
              </w:rPr>
              <w:t xml:space="preserve">104,000</w:t>
            </w:r>
          </w:p>
        </w:tc>
        <w:tc>
          <w:tcPr>
            <w:tcW w:type="pct" w:w="851"/>
            <w:tcMar>
              <w:top w:type="dxa" w:w="50"/>
              <w:left w:type="dxa" w:w="110"/>
              <w:bottom w:type="dxa" w:w="50"/>
              <w:right w:type="dxa" w:w="110"/>
            </w:tcMar>
          </w:tcPr>
          <w:p>
            <w:pPr>
              <w:spacing w:before="28" w:after="28"/>
            </w:pPr>
            <w:r>
              <w:rPr>
                <w:sz w:val="15"/>
                <w:szCs w:val="15"/>
              </w:rPr>
              <w:t xml:space="preserve">888,000</w:t>
            </w:r>
          </w:p>
        </w:tc>
        <w:tc>
          <w:tcPr>
            <w:tcW w:type="pct" w:w="569"/>
            <w:tcMar>
              <w:top w:type="dxa" w:w="50"/>
              <w:left w:type="dxa" w:w="110"/>
              <w:bottom w:type="dxa" w:w="50"/>
              <w:right w:type="dxa" w:w="110"/>
            </w:tcMar>
          </w:tcPr>
          <w:p>
            <w:pPr>
              <w:spacing w:before="28" w:after="28"/>
            </w:pPr>
            <w:r>
              <w:rPr>
                <w:sz w:val="15"/>
                <w:szCs w:val="15"/>
              </w:rPr>
              <w:t xml:space="preserve">74,000</w:t>
            </w:r>
          </w:p>
        </w:tc>
      </w:tr>
      <w:tr>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36"/>
            <w:shd w:fill="FBFAF6" w:val="clear"/>
            <w:tcMar>
              <w:top w:type="dxa" w:w="50"/>
              <w:left w:type="dxa" w:w="110"/>
              <w:bottom w:type="dxa" w:w="50"/>
              <w:right w:type="dxa" w:w="110"/>
            </w:tcMar>
          </w:tcPr>
          <w:p>
            <w:pPr>
              <w:spacing w:before="28" w:after="28"/>
            </w:pPr>
            <w:r>
              <w:rPr>
                <w:sz w:val="15"/>
                <w:szCs w:val="15"/>
              </w:rPr>
              <w:t xml:space="preserve">176,000</w:t>
            </w:r>
          </w:p>
        </w:tc>
        <w:tc>
          <w:tcPr>
            <w:tcW w:type="pct" w:w="702"/>
            <w:shd w:fill="FBFAF6" w:val="clear"/>
            <w:tcMar>
              <w:top w:type="dxa" w:w="50"/>
              <w:left w:type="dxa" w:w="110"/>
              <w:bottom w:type="dxa" w:w="50"/>
              <w:right w:type="dxa" w:w="110"/>
            </w:tcMar>
          </w:tcPr>
          <w:p>
            <w:pPr>
              <w:spacing w:before="28" w:after="28"/>
            </w:pPr>
            <w:r>
              <w:rPr>
                <w:sz w:val="15"/>
                <w:szCs w:val="15"/>
              </w:rPr>
              <w:t xml:space="preserve">288,000</w:t>
            </w:r>
          </w:p>
        </w:tc>
        <w:tc>
          <w:tcPr>
            <w:tcW w:type="pct" w:w="736"/>
            <w:shd w:fill="FBFAF6" w:val="clear"/>
            <w:tcMar>
              <w:top w:type="dxa" w:w="50"/>
              <w:left w:type="dxa" w:w="110"/>
              <w:bottom w:type="dxa" w:w="50"/>
              <w:right w:type="dxa" w:w="110"/>
            </w:tcMar>
          </w:tcPr>
          <w:p>
            <w:pPr>
              <w:spacing w:before="28" w:after="28"/>
            </w:pPr>
            <w:r>
              <w:rPr>
                <w:sz w:val="15"/>
                <w:szCs w:val="15"/>
              </w:rPr>
              <w:t xml:space="preserve">104,000</w:t>
            </w:r>
          </w:p>
        </w:tc>
        <w:tc>
          <w:tcPr>
            <w:tcW w:type="pct" w:w="692"/>
            <w:shd w:fill="FBFAF6" w:val="clear"/>
            <w:tcMar>
              <w:top w:type="dxa" w:w="50"/>
              <w:left w:type="dxa" w:w="110"/>
              <w:bottom w:type="dxa" w:w="50"/>
              <w:right w:type="dxa" w:w="110"/>
            </w:tcMar>
          </w:tcPr>
          <w:p>
            <w:pPr>
              <w:spacing w:before="28" w:after="28"/>
            </w:pPr>
            <w:r>
              <w:rPr>
                <w:sz w:val="15"/>
                <w:szCs w:val="15"/>
              </w:rPr>
              <w:t xml:space="preserve">122,000</w:t>
            </w:r>
          </w:p>
        </w:tc>
        <w:tc>
          <w:tcPr>
            <w:tcW w:type="pct" w:w="851"/>
            <w:shd w:fill="FBFAF6" w:val="clear"/>
            <w:tcMar>
              <w:top w:type="dxa" w:w="50"/>
              <w:left w:type="dxa" w:w="110"/>
              <w:bottom w:type="dxa" w:w="50"/>
              <w:right w:type="dxa" w:w="110"/>
            </w:tcMar>
          </w:tcPr>
          <w:p>
            <w:pPr>
              <w:spacing w:before="28" w:after="28"/>
            </w:pPr>
            <w:r>
              <w:rPr>
                <w:sz w:val="15"/>
                <w:szCs w:val="15"/>
              </w:rPr>
              <w:t xml:space="preserve">690,000</w:t>
            </w:r>
          </w:p>
        </w:tc>
        <w:tc>
          <w:tcPr>
            <w:tcW w:type="pct" w:w="569"/>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714"/>
            <w:tcMar>
              <w:top w:type="dxa" w:w="50"/>
              <w:left w:type="dxa" w:w="110"/>
              <w:bottom w:type="dxa" w:w="50"/>
              <w:right w:type="dxa" w:w="110"/>
            </w:tcMar>
          </w:tcPr>
          <w:p>
            <w:pPr>
              <w:spacing w:before="28" w:after="28"/>
            </w:pPr>
            <w:r>
              <w:rPr>
                <w:sz w:val="15"/>
                <w:szCs w:val="15"/>
              </w:rPr>
              <w:t xml:space="preserve">Beverages</w:t>
            </w:r>
          </w:p>
        </w:tc>
        <w:tc>
          <w:tcPr>
            <w:tcW w:type="pct" w:w="736"/>
            <w:tcMar>
              <w:top w:type="dxa" w:w="50"/>
              <w:left w:type="dxa" w:w="110"/>
              <w:bottom w:type="dxa" w:w="50"/>
              <w:right w:type="dxa" w:w="110"/>
            </w:tcMar>
          </w:tcPr>
          <w:p>
            <w:pPr>
              <w:spacing w:before="28" w:after="28"/>
            </w:pPr>
            <w:r>
              <w:rPr>
                <w:sz w:val="15"/>
                <w:szCs w:val="15"/>
              </w:rPr>
              <w:t xml:space="preserve">88,000</w:t>
            </w:r>
          </w:p>
        </w:tc>
        <w:tc>
          <w:tcPr>
            <w:tcW w:type="pct" w:w="702"/>
            <w:tcMar>
              <w:top w:type="dxa" w:w="50"/>
              <w:left w:type="dxa" w:w="110"/>
              <w:bottom w:type="dxa" w:w="50"/>
              <w:right w:type="dxa" w:w="110"/>
            </w:tcMar>
          </w:tcPr>
          <w:p>
            <w:pPr>
              <w:spacing w:before="28" w:after="28"/>
            </w:pPr>
            <w:r>
              <w:rPr>
                <w:sz w:val="15"/>
                <w:szCs w:val="15"/>
              </w:rPr>
              <w:t xml:space="preserve">144,000</w:t>
            </w:r>
          </w:p>
        </w:tc>
        <w:tc>
          <w:tcPr>
            <w:tcW w:type="pct" w:w="736"/>
            <w:tcMar>
              <w:top w:type="dxa" w:w="50"/>
              <w:left w:type="dxa" w:w="110"/>
              <w:bottom w:type="dxa" w:w="50"/>
              <w:right w:type="dxa" w:w="110"/>
            </w:tcMar>
          </w:tcPr>
          <w:p>
            <w:pPr>
              <w:spacing w:before="28" w:after="28"/>
            </w:pPr>
            <w:r>
              <w:rPr>
                <w:sz w:val="15"/>
                <w:szCs w:val="15"/>
              </w:rPr>
              <w:t xml:space="preserve">96,000</w:t>
            </w:r>
          </w:p>
        </w:tc>
        <w:tc>
          <w:tcPr>
            <w:tcW w:type="pct" w:w="692"/>
            <w:tcMar>
              <w:top w:type="dxa" w:w="50"/>
              <w:left w:type="dxa" w:w="110"/>
              <w:bottom w:type="dxa" w:w="50"/>
              <w:right w:type="dxa" w:w="110"/>
            </w:tcMar>
          </w:tcPr>
          <w:p>
            <w:pPr>
              <w:spacing w:before="28" w:after="28"/>
            </w:pPr>
            <w:r>
              <w:rPr>
                <w:sz w:val="15"/>
                <w:szCs w:val="15"/>
              </w:rPr>
              <w:t xml:space="preserve">86,000</w:t>
            </w:r>
          </w:p>
        </w:tc>
        <w:tc>
          <w:tcPr>
            <w:tcW w:type="pct" w:w="851"/>
            <w:tcMar>
              <w:top w:type="dxa" w:w="50"/>
              <w:left w:type="dxa" w:w="110"/>
              <w:bottom w:type="dxa" w:w="50"/>
              <w:right w:type="dxa" w:w="110"/>
            </w:tcMar>
          </w:tcPr>
          <w:p>
            <w:pPr>
              <w:spacing w:before="28" w:after="28"/>
            </w:pPr>
            <w:r>
              <w:rPr>
                <w:sz w:val="15"/>
                <w:szCs w:val="15"/>
              </w:rPr>
              <w:t xml:space="preserve">414,000</w:t>
            </w:r>
          </w:p>
        </w:tc>
        <w:tc>
          <w:tcPr>
            <w:tcW w:type="pct" w:w="569"/>
            <w:tcMar>
              <w:top w:type="dxa" w:w="50"/>
              <w:left w:type="dxa" w:w="110"/>
              <w:bottom w:type="dxa" w:w="50"/>
              <w:right w:type="dxa" w:w="110"/>
            </w:tcMar>
          </w:tcPr>
          <w:p>
            <w:pPr>
              <w:spacing w:before="28" w:after="28"/>
            </w:pPr>
            <w:r>
              <w:rPr>
                <w:sz w:val="15"/>
                <w:szCs w:val="15"/>
              </w:rPr>
              <w:t xml:space="preserve">34,500</w:t>
            </w:r>
          </w:p>
        </w:tc>
      </w:tr>
      <w:tr>
        <w:tc>
          <w:tcPr>
            <w:tcW w:type="pct" w:w="714"/>
            <w:shd w:fill="FBFAF6" w:val="clear"/>
            <w:tcMar>
              <w:top w:type="dxa" w:w="50"/>
              <w:left w:type="dxa" w:w="110"/>
              <w:bottom w:type="dxa" w:w="50"/>
              <w:right w:type="dxa" w:w="110"/>
            </w:tcMar>
          </w:tcPr>
          <w:p>
            <w:pPr>
              <w:spacing w:before="28" w:after="28"/>
            </w:pPr>
            <w:r>
              <w:rPr>
                <w:sz w:val="15"/>
                <w:szCs w:val="15"/>
              </w:rPr>
              <w:t xml:space="preserve">Total</w:t>
            </w:r>
          </w:p>
        </w:tc>
        <w:tc>
          <w:tcPr>
            <w:tcW w:type="pct" w:w="736"/>
            <w:shd w:fill="FBFAF6" w:val="clear"/>
            <w:tcMar>
              <w:top w:type="dxa" w:w="50"/>
              <w:left w:type="dxa" w:w="110"/>
              <w:bottom w:type="dxa" w:w="50"/>
              <w:right w:type="dxa" w:w="110"/>
            </w:tcMar>
          </w:tcPr>
          <w:p>
            <w:pPr>
              <w:spacing w:before="28" w:after="28"/>
            </w:pPr>
            <w:r>
              <w:rPr>
                <w:sz w:val="15"/>
                <w:szCs w:val="15"/>
              </w:rPr>
              <w:t xml:space="preserve">704,000</w:t>
            </w:r>
          </w:p>
        </w:tc>
        <w:tc>
          <w:tcPr>
            <w:tcW w:type="pct" w:w="702"/>
            <w:shd w:fill="FBFAF6" w:val="clear"/>
            <w:tcMar>
              <w:top w:type="dxa" w:w="50"/>
              <w:left w:type="dxa" w:w="110"/>
              <w:bottom w:type="dxa" w:w="50"/>
              <w:right w:type="dxa" w:w="110"/>
            </w:tcMar>
          </w:tcPr>
          <w:p>
            <w:pPr>
              <w:spacing w:before="28" w:after="28"/>
            </w:pPr>
            <w:r>
              <w:rPr>
                <w:sz w:val="15"/>
                <w:szCs w:val="15"/>
              </w:rPr>
              <w:t xml:space="preserve">576,000</w:t>
            </w:r>
          </w:p>
        </w:tc>
        <w:tc>
          <w:tcPr>
            <w:tcW w:type="pct" w:w="736"/>
            <w:shd w:fill="FBFAF6" w:val="clear"/>
            <w:tcMar>
              <w:top w:type="dxa" w:w="50"/>
              <w:left w:type="dxa" w:w="110"/>
              <w:bottom w:type="dxa" w:w="50"/>
              <w:right w:type="dxa" w:w="110"/>
            </w:tcMar>
          </w:tcPr>
          <w:p>
            <w:pPr>
              <w:spacing w:before="28" w:after="28"/>
            </w:pPr>
            <w:r>
              <w:rPr>
                <w:sz w:val="15"/>
                <w:szCs w:val="15"/>
              </w:rPr>
              <w:t xml:space="preserve">400,000</w:t>
            </w:r>
          </w:p>
        </w:tc>
        <w:tc>
          <w:tcPr>
            <w:tcW w:type="pct" w:w="692"/>
            <w:shd w:fill="FBFAF6" w:val="clear"/>
            <w:tcMar>
              <w:top w:type="dxa" w:w="50"/>
              <w:left w:type="dxa" w:w="110"/>
              <w:bottom w:type="dxa" w:w="50"/>
              <w:right w:type="dxa" w:w="110"/>
            </w:tcMar>
          </w:tcPr>
          <w:p>
            <w:pPr>
              <w:spacing w:before="28" w:after="28"/>
            </w:pPr>
            <w:r>
              <w:rPr>
                <w:sz w:val="15"/>
                <w:szCs w:val="15"/>
              </w:rPr>
              <w:t xml:space="preserve">312,000</w:t>
            </w:r>
          </w:p>
        </w:tc>
        <w:tc>
          <w:tcPr>
            <w:tcW w:type="pct" w:w="851"/>
            <w:shd w:fill="FBFAF6" w:val="clear"/>
            <w:tcMar>
              <w:top w:type="dxa" w:w="50"/>
              <w:left w:type="dxa" w:w="110"/>
              <w:bottom w:type="dxa" w:w="50"/>
              <w:right w:type="dxa" w:w="110"/>
            </w:tcMar>
          </w:tcPr>
          <w:p>
            <w:pPr>
              <w:spacing w:before="28" w:after="28"/>
            </w:pPr>
            <w:r>
              <w:rPr>
                <w:sz w:val="15"/>
                <w:szCs w:val="15"/>
              </w:rPr>
              <w:t xml:space="preserve">1,992,000</w:t>
            </w:r>
          </w:p>
        </w:tc>
        <w:tc>
          <w:tcPr>
            <w:tcW w:type="pct" w:w="569"/>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Beverages   ·   Oils</w:t>
            </w:r>
          </w:p>
        </w:tc>
      </w:tr>
    </w:tbl>
    <w:p/>
    <w:p>
      <w:pPr>
        <w:spacing w:before="20" w:after="20" w:line="360" w:lineRule="auto"/>
        <w:ind w:left="200"/>
      </w:pPr>
      <w:r>
        <w:rPr>
          <w:sz w:val="19"/>
          <w:szCs w:val="19"/>
        </w:rPr>
        <w:t xml:space="preserve">The journal totals $4,160,000 on each side.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339"/>
        <w:gridCol w:w="19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service allocation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218"/>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1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Maintenance Department</w:t>
            </w:r>
          </w:p>
        </w:tc>
        <w:tc>
          <w:tcPr>
            <w:tcW w:type="pct" w:w="1218"/>
            <w:tcMar>
              <w:top w:type="dxa" w:w="50"/>
              <w:left w:type="dxa" w:w="110"/>
              <w:bottom w:type="dxa" w:w="50"/>
              <w:right w:type="dxa" w:w="110"/>
            </w:tcMar>
          </w:tcPr>
          <w:p>
            <w:pPr>
              <w:spacing w:before="28" w:after="28"/>
            </w:pPr>
            <w:r>
              <w:rPr>
                <w:sz w:val="15"/>
                <w:szCs w:val="15"/>
              </w:rPr>
              <w:t xml:space="preserve">880,000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400,000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Quality Lab</w:t>
            </w:r>
          </w:p>
        </w:tc>
        <w:tc>
          <w:tcPr>
            <w:tcW w:type="pct" w:w="1218"/>
            <w:tcMar>
              <w:top w:type="dxa" w:w="50"/>
              <w:left w:type="dxa" w:w="110"/>
              <w:bottom w:type="dxa" w:w="50"/>
              <w:right w:type="dxa" w:w="110"/>
            </w:tcMar>
          </w:tcPr>
          <w:p>
            <w:pPr>
              <w:spacing w:before="28" w:after="28"/>
            </w:pPr>
            <w:r>
              <w:rPr>
                <w:sz w:val="15"/>
                <w:szCs w:val="15"/>
              </w:rPr>
              <w:t xml:space="preserve">400,000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HR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312,000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18"/>
            <w:tcMar>
              <w:top w:type="dxa" w:w="50"/>
              <w:left w:type="dxa" w:w="110"/>
              <w:bottom w:type="dxa" w:w="50"/>
              <w:right w:type="dxa" w:w="110"/>
            </w:tcMar>
          </w:tcPr>
          <w:p>
            <w:pPr>
              <w:spacing w:before="28" w:after="28"/>
            </w:pPr>
            <w:r>
              <w:rPr>
                <w:sz w:val="15"/>
                <w:szCs w:val="15"/>
              </w:rPr>
              <w:t xml:space="preserve"> </w:t>
            </w:r>
          </w:p>
        </w:tc>
        <w:tc>
          <w:tcPr>
            <w:tcW w:type="pct" w:w="1014"/>
            <w:tcMar>
              <w:top w:type="dxa" w:w="50"/>
              <w:left w:type="dxa" w:w="110"/>
              <w:bottom w:type="dxa" w:w="50"/>
              <w:right w:type="dxa" w:w="110"/>
            </w:tcMar>
          </w:tcPr>
          <w:p>
            <w:pPr>
              <w:spacing w:before="28" w:after="28"/>
            </w:pPr>
            <w:r>
              <w:rPr>
                <w:sz w:val="15"/>
                <w:szCs w:val="15"/>
              </w:rPr>
              <w:t xml:space="preserve">1,992,000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IT Department</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440,000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176,000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88,000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880,000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18"/>
            <w:shd w:fill="FBFAF6" w:val="clear"/>
            <w:tcMar>
              <w:top w:type="dxa" w:w="50"/>
              <w:left w:type="dxa" w:w="110"/>
              <w:bottom w:type="dxa" w:w="50"/>
              <w:right w:type="dxa" w:w="110"/>
            </w:tcMar>
          </w:tcPr>
          <w:p>
            <w:pPr>
              <w:spacing w:before="28" w:after="28"/>
            </w:pPr>
            <w:r>
              <w:rPr>
                <w:sz w:val="15"/>
                <w:szCs w:val="15"/>
              </w:rPr>
              <w:t xml:space="preserve">288,000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18"/>
            <w:tcMar>
              <w:top w:type="dxa" w:w="50"/>
              <w:left w:type="dxa" w:w="110"/>
              <w:bottom w:type="dxa" w:w="50"/>
              <w:right w:type="dxa" w:w="110"/>
            </w:tcMar>
          </w:tcPr>
          <w:p>
            <w:pPr>
              <w:spacing w:before="28" w:after="28"/>
            </w:pPr>
            <w:r>
              <w:rPr>
                <w:sz w:val="15"/>
                <w:szCs w:val="15"/>
              </w:rPr>
              <w:t xml:space="preserve">144,000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576,000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200,000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104,000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96,000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Quality Lab</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MOH Control - Oils</w:t>
            </w:r>
          </w:p>
        </w:tc>
        <w:tc>
          <w:tcPr>
            <w:tcW w:type="pct" w:w="1218"/>
            <w:tcMar>
              <w:top w:type="dxa" w:w="50"/>
              <w:left w:type="dxa" w:w="110"/>
              <w:bottom w:type="dxa" w:w="50"/>
              <w:right w:type="dxa" w:w="110"/>
            </w:tcMar>
          </w:tcPr>
          <w:p>
            <w:pPr>
              <w:spacing w:before="28" w:after="28"/>
            </w:pPr>
            <w:r>
              <w:rPr>
                <w:sz w:val="15"/>
                <w:szCs w:val="15"/>
              </w:rPr>
              <w:t xml:space="preserve">104,000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MOH Control - Tahini</w:t>
            </w:r>
          </w:p>
        </w:tc>
        <w:tc>
          <w:tcPr>
            <w:tcW w:type="pct" w:w="1218"/>
            <w:shd w:fill="FBFAF6" w:val="clear"/>
            <w:tcMar>
              <w:top w:type="dxa" w:w="50"/>
              <w:left w:type="dxa" w:w="110"/>
              <w:bottom w:type="dxa" w:w="50"/>
              <w:right w:type="dxa" w:w="110"/>
            </w:tcMar>
          </w:tcPr>
          <w:p>
            <w:pPr>
              <w:spacing w:before="28" w:after="28"/>
            </w:pPr>
            <w:r>
              <w:rPr>
                <w:sz w:val="15"/>
                <w:szCs w:val="15"/>
              </w:rPr>
              <w:t xml:space="preserve">122,000</w:t>
            </w:r>
          </w:p>
        </w:tc>
        <w:tc>
          <w:tcPr>
            <w:tcW w:type="pct" w:w="1014"/>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MOH Control - Beverages</w:t>
            </w:r>
          </w:p>
        </w:tc>
        <w:tc>
          <w:tcPr>
            <w:tcW w:type="pct" w:w="1218"/>
            <w:tcMar>
              <w:top w:type="dxa" w:w="50"/>
              <w:left w:type="dxa" w:w="110"/>
              <w:bottom w:type="dxa" w:w="50"/>
              <w:right w:type="dxa" w:w="110"/>
            </w:tcMar>
          </w:tcPr>
          <w:p>
            <w:pPr>
              <w:spacing w:before="28" w:after="28"/>
            </w:pPr>
            <w:r>
              <w:rPr>
                <w:sz w:val="15"/>
                <w:szCs w:val="15"/>
              </w:rPr>
              <w:t xml:space="preserve">86,000</w:t>
            </w:r>
          </w:p>
        </w:tc>
        <w:tc>
          <w:tcPr>
            <w:tcW w:type="pct" w:w="1014"/>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218"/>
            <w:shd w:fill="FBFAF6" w:val="clear"/>
            <w:tcMar>
              <w:top w:type="dxa" w:w="50"/>
              <w:left w:type="dxa" w:w="110"/>
              <w:bottom w:type="dxa" w:w="50"/>
              <w:right w:type="dxa" w:w="110"/>
            </w:tcMar>
          </w:tcPr>
          <w:p>
            <w:pPr>
              <w:spacing w:before="28" w:after="28"/>
            </w:pPr>
            <w:r>
              <w:rPr>
                <w:sz w:val="15"/>
                <w:szCs w:val="15"/>
              </w:rPr>
              <w:t xml:space="preserve"> </w:t>
            </w:r>
          </w:p>
        </w:tc>
        <w:tc>
          <w:tcPr>
            <w:tcW w:type="pct" w:w="1014"/>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1218"/>
            <w:tcMar>
              <w:top w:type="dxa" w:w="50"/>
              <w:left w:type="dxa" w:w="110"/>
              <w:bottom w:type="dxa" w:w="50"/>
              <w:right w:type="dxa" w:w="110"/>
            </w:tcMar>
          </w:tcPr>
          <w:p>
            <w:pPr>
              <w:spacing w:before="28" w:after="28"/>
            </w:pPr>
            <w:r>
              <w:rPr>
                <w:sz w:val="15"/>
                <w:szCs w:val="15"/>
              </w:rPr>
              <w:t xml:space="preserve">4,160,000</w:t>
            </w:r>
          </w:p>
        </w:tc>
        <w:tc>
          <w:tcPr>
            <w:tcW w:type="pct" w:w="1014"/>
            <w:tcMar>
              <w:top w:type="dxa" w:w="50"/>
              <w:left w:type="dxa" w:w="110"/>
              <w:bottom w:type="dxa" w:w="50"/>
              <w:right w:type="dxa" w:w="110"/>
            </w:tcMar>
          </w:tcPr>
          <w:p>
            <w:pPr>
              <w:spacing w:before="28" w:after="28"/>
            </w:pPr>
            <w:r>
              <w:rPr>
                <w:sz w:val="15"/>
                <w:szCs w:val="15"/>
              </w:rPr>
              <w:t xml:space="preserve">4,160,000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MOH Control - Tahini   ·   Various accounts   ·   MOH Control - Oils   ·   Maintenance Department   ·   MOH Control - Beverages   ·   Variable 28,000; total 84,000   ·   IT Department   ·   HR Department</w:t>
            </w:r>
          </w:p>
        </w:tc>
      </w:tr>
    </w:tbl>
    <w:p/>
    <w:p>
      <w:pPr>
        <w:spacing w:before="20" w:after="20" w:line="360" w:lineRule="auto"/>
        <w:ind w:left="200"/>
      </w:pPr>
      <w:r>
        <w:rPr>
          <w:sz w:val="19"/>
          <w:szCs w:val="19"/>
        </w:rPr>
        <w:t xml:space="preserve">Every service department account closes to zero, and each division's overhead account holds its share.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20–21</w:t>
      </w:r>
    </w:p>
    <w:p>
      <w:pPr>
        <w:spacing w:before="20" w:after="20" w:line="360" w:lineRule="auto"/>
        <w:ind w:left="200"/>
      </w:pPr>
      <w:r>
        <w:rPr>
          <w:sz w:val="19"/>
          <w:szCs w:val="19"/>
        </w:rPr>
        <w:t xml:space="preserve">Allocated: $888,000 + $690,000 + $414,000 = $1,992,000, all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cost. </w:t>
      </w:r>
      <w:r>
        <w:rPr>
          <w:sz w:val="19"/>
          <w:szCs w:val="19"/>
        </w:rPr>
        <w:t xml:space="preserve">IT pool: $400,000 + $176,000 from Maintenance = $576,000. </w:t>
      </w:r>
      <w:r>
        <w:rPr>
          <w:sz w:val="19"/>
          <w:szCs w:val="19"/>
        </w:rPr>
        <w:t xml:space="preserve">Tahini: $690,000 is twelve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charge in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   headcount   ·   service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22–24</w:t>
      </w:r>
    </w:p>
    <w:p>
      <w:pPr>
        <w:spacing w:before="20" w:after="20" w:line="360" w:lineRule="auto"/>
        <w:ind w:left="200"/>
      </w:pPr>
      <w:r>
        <w:rPr>
          <w:sz w:val="19"/>
          <w:szCs w:val="19"/>
        </w:rPr>
        <w:t xml:space="preserve">Expect two service and two production departments with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For the direct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to production departments. </w:t>
      </w:r>
      <w:r>
        <w:rPr>
          <w:sz w:val="19"/>
          <w:szCs w:val="19"/>
        </w:rPr>
        <w:t xml:space="preserve">For step-down, use the enlarged pool. </w:t>
      </w:r>
      <w:r>
        <w:rPr>
          <w:sz w:val="19"/>
          <w:szCs w:val="19"/>
        </w:rPr>
        <w:t xml:space="preserve">For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write the two equations and solve before allocating.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rescale   ·   reciprocal   ·   records   ·   percentages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23"/>
        <w:gridCol w:w="1799"/>
        <w:gridCol w:w="864"/>
        <w:gridCol w:w="979"/>
        <w:gridCol w:w="1468"/>
        <w:gridCol w:w="1367"/>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1627"/>
            <w:shd w:fill="353A7C" w:val="clear"/>
            <w:tcMar>
              <w:top w:type="dxa" w:w="50"/>
              <w:left w:type="dxa" w:w="110"/>
              <w:bottom w:type="dxa" w:w="50"/>
              <w:right w:type="dxa" w:w="110"/>
            </w:tcMar>
          </w:tcPr>
          <w:p>
            <w:pPr>
              <w:spacing w:before="30" w:after="30"/>
            </w:pPr>
            <w:r>
              <w:rPr>
                <w:b/>
                <w:bCs/>
                <w:color w:val="FFFFFF"/>
                <w:sz w:val="15"/>
                <w:szCs w:val="15"/>
              </w:rPr>
              <w:t xml:space="preserve">Levant Distribution · FY2027</w:t>
            </w:r>
          </w:p>
        </w:tc>
        <w:tc>
          <w:tcPr>
            <w:tcW w:type="pct" w:w="937"/>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To IT</w:t>
            </w:r>
          </w:p>
        </w:tc>
        <w:tc>
          <w:tcPr>
            <w:tcW w:type="pct" w:w="510"/>
            <w:shd w:fill="353A7C" w:val="clear"/>
            <w:tcMar>
              <w:top w:type="dxa" w:w="50"/>
              <w:left w:type="dxa" w:w="110"/>
              <w:bottom w:type="dxa" w:w="50"/>
              <w:right w:type="dxa" w:w="110"/>
            </w:tcMar>
          </w:tcPr>
          <w:p>
            <w:pPr>
              <w:spacing w:before="30" w:after="30"/>
            </w:pPr>
            <w:r>
              <w:rPr>
                <w:b/>
                <w:bCs/>
                <w:color w:val="FFFFFF"/>
                <w:sz w:val="15"/>
                <w:szCs w:val="15"/>
              </w:rPr>
              <w:t xml:space="preserve">To Fleet</w:t>
            </w:r>
          </w:p>
        </w:tc>
        <w:tc>
          <w:tcPr>
            <w:tcW w:type="pct" w:w="765"/>
            <w:shd w:fill="353A7C" w:val="clear"/>
            <w:tcMar>
              <w:top w:type="dxa" w:w="50"/>
              <w:left w:type="dxa" w:w="110"/>
              <w:bottom w:type="dxa" w:w="50"/>
              <w:right w:type="dxa" w:w="110"/>
            </w:tcMar>
          </w:tcPr>
          <w:p>
            <w:pPr>
              <w:spacing w:before="30" w:after="30"/>
            </w:pPr>
            <w:r>
              <w:rPr>
                <w:b/>
                <w:bCs/>
                <w:color w:val="FFFFFF"/>
                <w:sz w:val="15"/>
                <w:szCs w:val="15"/>
              </w:rPr>
              <w:t xml:space="preserve">To Warehouse</w:t>
            </w:r>
          </w:p>
        </w:tc>
        <w:tc>
          <w:tcPr>
            <w:tcW w:type="pct" w:w="712"/>
            <w:shd w:fill="353A7C" w:val="clear"/>
            <w:tcMar>
              <w:top w:type="dxa" w:w="50"/>
              <w:left w:type="dxa" w:w="110"/>
              <w:bottom w:type="dxa" w:w="50"/>
              <w:right w:type="dxa" w:w="110"/>
            </w:tcMar>
          </w:tcPr>
          <w:p>
            <w:pPr>
              <w:spacing w:before="30" w:after="30"/>
            </w:pPr>
            <w:r>
              <w:rPr>
                <w:b/>
                <w:bCs/>
                <w:color w:val="FFFFFF"/>
                <w:sz w:val="15"/>
                <w:szCs w:val="15"/>
              </w:rPr>
              <w:t xml:space="preserve">To Delivery</w:t>
            </w:r>
          </w:p>
        </w:tc>
      </w:tr>
      <w:tr>
        <w:tc>
          <w:tcPr>
            <w:tcW w:type="pct" w:w="1627"/>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937"/>
            <w:tcMar>
              <w:top w:type="dxa" w:w="50"/>
              <w:left w:type="dxa" w:w="110"/>
              <w:bottom w:type="dxa" w:w="50"/>
              <w:right w:type="dxa" w:w="110"/>
            </w:tcMar>
          </w:tcPr>
          <w:p>
            <w:pPr>
              <w:spacing w:before="28" w:after="28"/>
            </w:pPr>
            <w:r>
              <w:rPr>
                <w:sz w:val="15"/>
                <w:szCs w:val="15"/>
              </w:rPr>
              <w:t xml:space="preserve">216,000</w:t>
            </w:r>
          </w:p>
        </w:tc>
        <w:tc>
          <w:tcPr>
            <w:tcW w:type="pct" w:w="450"/>
            <w:tcMar>
              <w:top w:type="dxa" w:w="50"/>
              <w:left w:type="dxa" w:w="110"/>
              <w:bottom w:type="dxa" w:w="50"/>
              <w:right w:type="dxa" w:w="110"/>
            </w:tcMar>
          </w:tcPr>
          <w:p>
            <w:pPr>
              <w:spacing w:before="28" w:after="28"/>
            </w:pPr>
            <w:r>
              <w:rPr>
                <w:sz w:val="15"/>
                <w:szCs w:val="15"/>
              </w:rPr>
              <w:t xml:space="preserve">20%</w:t>
            </w:r>
          </w:p>
        </w:tc>
        <w:tc>
          <w:tcPr>
            <w:tcW w:type="pct" w:w="510"/>
            <w:tcMar>
              <w:top w:type="dxa" w:w="50"/>
              <w:left w:type="dxa" w:w="110"/>
              <w:bottom w:type="dxa" w:w="50"/>
              <w:right w:type="dxa" w:w="110"/>
            </w:tcMar>
          </w:tcPr>
          <w:p>
            <w:pPr>
              <w:spacing w:before="28" w:after="28"/>
            </w:pPr>
            <w:r>
              <w:rPr>
                <w:sz w:val="15"/>
                <w:szCs w:val="15"/>
              </w:rPr>
              <w:t xml:space="preserve">—</w:t>
            </w:r>
          </w:p>
        </w:tc>
        <w:tc>
          <w:tcPr>
            <w:tcW w:type="pct" w:w="765"/>
            <w:tcMar>
              <w:top w:type="dxa" w:w="50"/>
              <w:left w:type="dxa" w:w="110"/>
              <w:bottom w:type="dxa" w:w="50"/>
              <w:right w:type="dxa" w:w="110"/>
            </w:tcMar>
          </w:tcPr>
          <w:p>
            <w:pPr>
              <w:spacing w:before="28" w:after="28"/>
            </w:pPr>
            <w:r>
              <w:rPr>
                <w:sz w:val="15"/>
                <w:szCs w:val="15"/>
              </w:rPr>
              <w:t xml:space="preserve">40%</w:t>
            </w:r>
          </w:p>
        </w:tc>
        <w:tc>
          <w:tcPr>
            <w:tcW w:type="pct" w:w="712"/>
            <w:tcMar>
              <w:top w:type="dxa" w:w="50"/>
              <w:left w:type="dxa" w:w="110"/>
              <w:bottom w:type="dxa" w:w="50"/>
              <w:right w:type="dxa" w:w="110"/>
            </w:tcMar>
          </w:tcPr>
          <w:p>
            <w:pPr>
              <w:spacing w:before="28" w:after="28"/>
            </w:pPr>
            <w:r>
              <w:rPr>
                <w:sz w:val="15"/>
                <w:szCs w:val="15"/>
              </w:rPr>
              <w:t xml:space="preserve">40%</w:t>
            </w:r>
          </w:p>
        </w:tc>
      </w:tr>
      <w:tr>
        <w:tc>
          <w:tcPr>
            <w:tcW w:type="pct" w:w="1627"/>
            <w:shd w:fill="FBFAF6" w:val="clear"/>
            <w:tcMar>
              <w:top w:type="dxa" w:w="50"/>
              <w:left w:type="dxa" w:w="110"/>
              <w:bottom w:type="dxa" w:w="50"/>
              <w:right w:type="dxa" w:w="110"/>
            </w:tcMar>
          </w:tcPr>
          <w:p>
            <w:pPr>
              <w:spacing w:before="28" w:after="28"/>
            </w:pPr>
            <w:r>
              <w:rPr>
                <w:sz w:val="15"/>
                <w:szCs w:val="15"/>
              </w:rPr>
              <w:t xml:space="preserve">IT (S2)</w:t>
            </w:r>
          </w:p>
        </w:tc>
        <w:tc>
          <w:tcPr>
            <w:tcW w:type="pct" w:w="937"/>
            <w:shd w:fill="FBFAF6" w:val="clear"/>
            <w:tcMar>
              <w:top w:type="dxa" w:w="50"/>
              <w:left w:type="dxa" w:w="110"/>
              <w:bottom w:type="dxa" w:w="50"/>
              <w:right w:type="dxa" w:w="110"/>
            </w:tcMar>
          </w:tcPr>
          <w:p>
            <w:pPr>
              <w:spacing w:before="28" w:after="28"/>
            </w:pPr>
            <w:r>
              <w:rPr>
                <w:sz w:val="15"/>
                <w:szCs w:val="15"/>
              </w:rPr>
              <w:t xml:space="preserve">120,000</w:t>
            </w:r>
          </w:p>
        </w:tc>
        <w:tc>
          <w:tcPr>
            <w:tcW w:type="pct" w:w="450"/>
            <w:shd w:fill="FBFAF6" w:val="clear"/>
            <w:tcMar>
              <w:top w:type="dxa" w:w="50"/>
              <w:left w:type="dxa" w:w="110"/>
              <w:bottom w:type="dxa" w:w="50"/>
              <w:right w:type="dxa" w:w="110"/>
            </w:tcMar>
          </w:tcPr>
          <w:p>
            <w:pPr>
              <w:spacing w:before="28" w:after="28"/>
            </w:pPr>
            <w:r>
              <w:rPr>
                <w:sz w:val="15"/>
                <w:szCs w:val="15"/>
              </w:rPr>
              <w:t xml:space="preserve">—</w:t>
            </w:r>
          </w:p>
        </w:tc>
        <w:tc>
          <w:tcPr>
            <w:tcW w:type="pct" w:w="510"/>
            <w:shd w:fill="FBFAF6" w:val="clear"/>
            <w:tcMar>
              <w:top w:type="dxa" w:w="50"/>
              <w:left w:type="dxa" w:w="110"/>
              <w:bottom w:type="dxa" w:w="50"/>
              <w:right w:type="dxa" w:w="110"/>
            </w:tcMar>
          </w:tcPr>
          <w:p>
            <w:pPr>
              <w:spacing w:before="28" w:after="28"/>
            </w:pPr>
            <w:r>
              <w:rPr>
                <w:sz w:val="15"/>
                <w:szCs w:val="15"/>
              </w:rPr>
              <w:t xml:space="preserve">20%</w:t>
            </w:r>
          </w:p>
        </w:tc>
        <w:tc>
          <w:tcPr>
            <w:tcW w:type="pct" w:w="765"/>
            <w:shd w:fill="FBFAF6" w:val="clear"/>
            <w:tcMar>
              <w:top w:type="dxa" w:w="50"/>
              <w:left w:type="dxa" w:w="110"/>
              <w:bottom w:type="dxa" w:w="50"/>
              <w:right w:type="dxa" w:w="110"/>
            </w:tcMar>
          </w:tcPr>
          <w:p>
            <w:pPr>
              <w:spacing w:before="28" w:after="28"/>
            </w:pPr>
            <w:r>
              <w:rPr>
                <w:sz w:val="15"/>
                <w:szCs w:val="15"/>
              </w:rPr>
              <w:t xml:space="preserve">50%</w:t>
            </w:r>
          </w:p>
        </w:tc>
        <w:tc>
          <w:tcPr>
            <w:tcW w:type="pct" w:w="712"/>
            <w:shd w:fill="FBFAF6" w:val="clear"/>
            <w:tcMar>
              <w:top w:type="dxa" w:w="50"/>
              <w:left w:type="dxa" w:w="110"/>
              <w:bottom w:type="dxa" w:w="50"/>
              <w:right w:type="dxa" w:w="110"/>
            </w:tcMar>
          </w:tcPr>
          <w:p>
            <w:pPr>
              <w:spacing w:before="28" w:after="28"/>
            </w:pPr>
            <w:r>
              <w:rPr>
                <w:sz w:val="15"/>
                <w:szCs w:val="15"/>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Tahini &amp; Spreads   ·   Fleet Maintenance (S1)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Tahini &amp; Spreads</w:t>
            </w:r>
          </w:p>
        </w:tc>
        <w:tc>
          <w:tcPr>
            <w:tcW w:type="pct" w:w="2600"/>
            <w:tcMar>
              <w:top w:type="dxa" w:w="50"/>
              <w:left w:type="dxa" w:w="110"/>
              <w:bottom w:type="dxa" w:w="50"/>
              <w:right w:type="dxa" w:w="110"/>
            </w:tcMar>
          </w:tcPr>
          <w:p>
            <w:pPr>
              <w:spacing w:before="28" w:after="28"/>
            </w:pPr>
            <w:r>
              <w:rPr>
                <w:sz w:val="15"/>
                <w:szCs w:val="15"/>
              </w:rPr>
              <w:t xml:space="preserve">Variable 60,000; total 172,000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Beverages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28,000; total 84,000   ·   MOH Control - Tahini</w:t>
            </w:r>
          </w:p>
        </w:tc>
      </w:tr>
    </w:tbl>
    <w:p/>
    <w:p>
      <w:pPr>
        <w:spacing w:before="44" w:after="10"/>
      </w:pPr>
      <w:r>
        <w:rPr>
          <w:b/>
          <w:bCs/>
          <w:color w:val="353A7C"/>
          <w:sz w:val="18"/>
          <w:szCs w:val="18"/>
        </w:rPr>
        <w:t xml:space="preserve">Department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Fleet Maintenance   ·   service department   ·   Payroll office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reciprocal method   ·   single-rate method   ·   dual-rate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step-down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التوزيع التنازلي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reciprocal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التوزيع التبادلي</w:t>
            </w:r>
          </w:p>
        </w:tc>
      </w:tr>
      <w:tr>
        <w:tc>
          <w:tcPr>
            <w:tcW w:type="pct" w:w="2400"/>
            <w:tcMar>
              <w:top w:type="dxa" w:w="50"/>
              <w:left w:type="dxa" w:w="110"/>
              <w:bottom w:type="dxa" w:w="50"/>
              <w:right w:type="dxa" w:w="110"/>
            </w:tcMar>
          </w:tcPr>
          <w:p>
            <w:pPr>
              <w:spacing w:before="26" w:after="26"/>
            </w:pPr>
            <w:r>
              <w:rPr>
                <w:color w:val="232733"/>
                <w:sz w:val="16"/>
                <w:szCs w:val="16"/>
              </w:rPr>
              <w:t xml:space="preserve">dual-rate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المعدل المزدوج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10.7  Extended Example 10A: Orontes allocates 2027 service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allocates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MOH Control - Tahini</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MOH Control - 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IT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chapters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headcount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percentages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rescale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reciprocal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Fleet Maintenance (S1)</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Variable 28,000; total 84,000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Tahini &amp; Spreads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Fleet 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Various accounts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Payroll office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 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reciprocal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MOH Control - Oils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dual-rate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allocates all four service departments with the policy methods, records the entries and ties the result to the charges used in earlier chapters. The allocation table is exam-core; the entries are for depth. Service costs: Maintenance $880,000; IT $400,000; Quality Lab $400,000; HR $312,000; total $1,992,000. Policy: step-down for Maintenance then IT; Quality Lab on test hours; HR on headcount. Allocate Maintenance, then the enlarged IT pool, then Quality Lab and HR. Record each step, check that every service account closes, and compare each division's total with its monthly charge. Oils receives $888,000, Tahini &amp; Spreads $690,000 and Beverages $414,000. Divided by twelve, these are the monthly service charges used in, 6 and 8.</w:t>
      </w:r>
    </w:p>
    <w:p>
      <w:pPr>
        <w:spacing w:before="20" w:after="20"/>
        <w:ind w:left="240" w:hanging="240"/>
      </w:pPr>
      <w:r>
        <w:rPr>
          <w:b/>
          <w:bCs/>
          <w:color w:val="353A7C"/>
          <w:sz w:val="15"/>
          <w:szCs w:val="15"/>
        </w:rPr>
        <w:t xml:space="preserve">Summary 2   </w:t>
      </w:r>
      <w:r>
        <w:rPr>
          <w:color w:val="6B7280"/>
          <w:sz w:val="15"/>
          <w:szCs w:val="15"/>
        </w:rPr>
        <w:t xml:space="preserve">Allocated: $888,000 + $690,000 + $414,000 = $1,992,000, all service cost. IT pool: $400,000 + $176,000 from Maintenance = $576,000. Tahini: $690,000 is twelve months of the charge in the.</w:t>
      </w:r>
    </w:p>
    <w:p>
      <w:pPr>
        <w:spacing w:before="20" w:after="20"/>
        <w:ind w:left="240" w:hanging="240"/>
      </w:pPr>
      <w:r>
        <w:rPr>
          <w:b/>
          <w:bCs/>
          <w:color w:val="353A7C"/>
          <w:sz w:val="15"/>
          <w:szCs w:val="15"/>
        </w:rPr>
        <w:t xml:space="preserve">Summary 3   </w:t>
      </w:r>
      <w:r>
        <w:rPr>
          <w:color w:val="6B7280"/>
          <w:sz w:val="15"/>
          <w:szCs w:val="15"/>
        </w:rPr>
        <w:t xml:space="preserve">Expect two service and two production departments with percentages. For the direct method, rescale to production departments. For step-down, use the enlarged pool. For the reciprocal method, write the two equations and solve before allocating.</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Why allocate service department costs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Choosing allocation bases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The direct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step-down method</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The reciprocal method</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Single, dual and budgeted rates</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10.7 · Extended Example 10A: Orontes allocates 2027 service costs</w:t>
          </w:r>
        </w:p>
      </w:tc>
      <w:tc>
        <w:tcPr>
          <w:tcW w:type="pct" w:w="1400"/>
          <w:tcMar>
            <w:top w:type="dxa" w:w="-30"/>
            <w:left w:type="dxa" w:w="30"/>
            <w:bottom w:type="dxa" w:w="-30"/>
            <w:right w:type="dxa" w:w="30"/>
          </w:tcMar>
        </w:tcPr>
        <w:p>
          <w:pPr>
            <w:jc w:val="right"/>
          </w:pPr>
          <w:r>
            <w:rPr>
              <w:color w:val="6B7280"/>
              <w:sz w:val="16"/>
              <w:szCs w:val="16"/>
            </w:rPr>
            <w:t xml:space="preserve">Handout 10.7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d146f0092848467e9b5654d273dc97145c111fb.png" Type="http://schemas.openxmlformats.org/officeDocument/2006/relationships/image"/><Relationship Id="rId102" Target="media/c199d7bd72e70c12624291a4f33d21d7eef7220b.png" Type="http://schemas.openxmlformats.org/officeDocument/2006/relationships/image"/><Relationship Id="rId103" Target="media/b2b22017f2547d6ca419f6f112a6d25b648c6e92.png" Type="http://schemas.openxmlformats.org/officeDocument/2006/relationships/image"/><Relationship Id="rId104" Target="media/fe3da565331625eda58e9e0f34de50d32c65ac09.png" Type="http://schemas.openxmlformats.org/officeDocument/2006/relationships/image"/><Relationship Id="rId105" Target="media/fa6679b5384210a2cce7a60aa2a21949af1a18d4.png" Type="http://schemas.openxmlformats.org/officeDocument/2006/relationships/image"/><Relationship Id="rId106" Target="media/7e9e2f7325061c3d0cc40e3bea4191e9721995cc.png" Type="http://schemas.openxmlformats.org/officeDocument/2006/relationships/image"/><Relationship Id="rId107" Target="media/f2fb866aa89543f62832718b9dd35e8a1a20eab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10</dc:title>
  <dc:subject>Summary handouts</dc:subject>
  <cp:category>Student Book</cp:category>
</cp:coreProperties>
</file>