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kaizen, in which the people who do the work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management makes quality everyone's job and lets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suggest   ·   processes   ·   improvement   ·   define   ·   minutes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66"/>
        <w:gridCol w:w="4224"/>
        <w:gridCol w:w="341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776"/>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1024"/>
            <w:tcMar>
              <w:top w:type="dxa" w:w="50"/>
              <w:left w:type="dxa" w:w="110"/>
              <w:bottom w:type="dxa" w:w="50"/>
              <w:right w:type="dxa" w:w="110"/>
            </w:tcMar>
          </w:tcPr>
          <w:p>
            <w:pPr>
              <w:spacing w:before="28" w:after="28"/>
            </w:pPr>
            <w:r>
              <w:rPr>
                <w:sz w:val="15"/>
                <w:szCs w:val="15"/>
              </w:rPr>
              <w:t xml:space="preserve">Kaizen</w:t>
            </w:r>
          </w:p>
        </w:tc>
        <w:tc>
          <w:tcPr>
            <w:tcW w:type="pct" w:w="2200"/>
            <w:tcMar>
              <w:top w:type="dxa" w:w="50"/>
              <w:left w:type="dxa" w:w="110"/>
              <w:bottom w:type="dxa" w:w="50"/>
              <w:right w:type="dxa" w:w="110"/>
            </w:tcMar>
          </w:tcPr>
          <w:p>
            <w:pPr>
              <w:spacing w:before="28" w:after="28"/>
            </w:pPr>
            <w:r>
              <w:rPr>
                <w:sz w:val="15"/>
                <w:szCs w:val="15"/>
              </w:rPr>
              <w:t xml:space="preserve">Many small improvements, suggested by the people who do the work</w:t>
            </w:r>
          </w:p>
        </w:tc>
        <w:tc>
          <w:tcPr>
            <w:tcW w:type="pct" w:w="1776"/>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024"/>
            <w:shd w:fill="FBFAF6" w:val="clear"/>
            <w:tcMar>
              <w:top w:type="dxa" w:w="50"/>
              <w:left w:type="dxa" w:w="110"/>
              <w:bottom w:type="dxa" w:w="50"/>
              <w:right w:type="dxa" w:w="110"/>
            </w:tcMar>
          </w:tcPr>
          <w:p>
            <w:pPr>
              <w:spacing w:before="28" w:after="28"/>
            </w:pPr>
            <w:r>
              <w:rPr>
                <w:sz w:val="15"/>
                <w:szCs w:val="15"/>
              </w:rPr>
              <w:t xml:space="preserve">PDCA cycle</w:t>
            </w:r>
          </w:p>
        </w:tc>
        <w:tc>
          <w:tcPr>
            <w:tcW w:type="pct" w:w="2200"/>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776"/>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024"/>
            <w:tcMar>
              <w:top w:type="dxa" w:w="50"/>
              <w:left w:type="dxa" w:w="110"/>
              <w:bottom w:type="dxa" w:w="50"/>
              <w:right w:type="dxa" w:w="110"/>
            </w:tcMar>
          </w:tcPr>
          <w:p>
            <w:pPr>
              <w:spacing w:before="28" w:after="28"/>
            </w:pPr>
            <w:r>
              <w:rPr>
                <w:sz w:val="15"/>
                <w:szCs w:val="15"/>
              </w:rPr>
              <w:t xml:space="preserve">Total quality management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776"/>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1024"/>
            <w:shd w:fill="FBFAF6" w:val="clear"/>
            <w:tcMar>
              <w:top w:type="dxa" w:w="50"/>
              <w:left w:type="dxa" w:w="110"/>
              <w:bottom w:type="dxa" w:w="50"/>
              <w:right w:type="dxa" w:w="110"/>
            </w:tcMar>
          </w:tcPr>
          <w:p>
            <w:pPr>
              <w:spacing w:before="28" w:after="28"/>
            </w:pPr>
            <w:r>
              <w:rPr>
                <w:sz w:val="15"/>
                <w:szCs w:val="15"/>
              </w:rPr>
              <w:t xml:space="preserve">Six Sigma</w:t>
            </w:r>
          </w:p>
        </w:tc>
        <w:tc>
          <w:tcPr>
            <w:tcW w:type="pct" w:w="2200"/>
            <w:shd w:fill="FBFAF6" w:val="clear"/>
            <w:tcMar>
              <w:top w:type="dxa" w:w="50"/>
              <w:left w:type="dxa" w:w="110"/>
              <w:bottom w:type="dxa" w:w="50"/>
              <w:right w:type="dxa" w:w="110"/>
            </w:tcMar>
          </w:tcPr>
          <w:p>
            <w:pPr>
              <w:spacing w:before="28" w:after="28"/>
            </w:pPr>
            <w:r>
              <w:rPr>
                <w:sz w:val="15"/>
                <w:szCs w:val="15"/>
              </w:rPr>
              <w:t xml:space="preserve">Data and statistics to cut defects to very low levels</w:t>
            </w:r>
          </w:p>
        </w:tc>
        <w:tc>
          <w:tcPr>
            <w:tcW w:type="pct" w:w="1776"/>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is everyone's job; the customer defines quality   ·   Cost of one hour of line time   ·   Trying a new cleaning routine on one line first   ·   Shorter changeovers on the filling 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Shorter changeovers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suggest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Six Sigma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An ideal standard assumes perfect conditions: no waste, no breakdowns, no idle time. </w:t>
      </w:r>
      <w:r>
        <w:rPr>
          <w:sz w:val="19"/>
          <w:szCs w:val="19"/>
        </w:rPr>
        <w:t xml:space="preserve">A currently attainable standard allows for normal waste and is hard but possible. </w:t>
      </w:r>
      <w:r>
        <w:rPr>
          <w:sz w:val="19"/>
          <w:szCs w:val="19"/>
        </w:rPr>
        <w:t xml:space="preserve">The ideal shows the direction and the size of the waste still in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it. </w:t>
      </w:r>
      <w:r>
        <w:rPr>
          <w:sz w:val="19"/>
          <w:szCs w:val="19"/>
        </w:rPr>
        <w:t xml:space="preserve">Beverages allows 2.0% normal spoilage this year, aims for 1.2% after its kaizen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treats 0.0% as the ideal.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people against the ideal standard can demotivate them,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never met; using it to show the remaining waste motivates improvement.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because   ·   closer   ·   direction   ·   program   ·   process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1"/>
        <w:gridCol w:w="4224"/>
        <w:gridCol w:w="26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42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37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422"/>
            <w:tcMar>
              <w:top w:type="dxa" w:w="50"/>
              <w:left w:type="dxa" w:w="110"/>
              <w:bottom w:type="dxa" w:w="50"/>
              <w:right w:type="dxa" w:w="110"/>
            </w:tcMar>
          </w:tcPr>
          <w:p>
            <w:pPr>
              <w:spacing w:before="28" w:after="28"/>
            </w:pPr>
            <w:r>
              <w:rPr>
                <w:sz w:val="15"/>
                <w:szCs w:val="15"/>
              </w:rPr>
              <w:t xml:space="preserve">Assumes</w:t>
            </w:r>
          </w:p>
        </w:tc>
        <w:tc>
          <w:tcPr>
            <w:tcW w:type="pct" w:w="2200"/>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378"/>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22"/>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2200"/>
            <w:shd w:fill="FBFAF6" w:val="clear"/>
            <w:tcMar>
              <w:top w:type="dxa" w:w="50"/>
              <w:left w:type="dxa" w:w="110"/>
              <w:bottom w:type="dxa" w:w="50"/>
              <w:right w:type="dxa" w:w="110"/>
            </w:tcMar>
          </w:tcPr>
          <w:p>
            <w:pPr>
              <w:spacing w:before="28" w:after="28"/>
            </w:pPr>
            <w:r>
              <w:rPr>
                <w:sz w:val="15"/>
                <w:szCs w:val="15"/>
              </w:rPr>
              <w:t xml:space="preserve">Shows the direction and the size of the remaining waste</w:t>
            </w:r>
          </w:p>
        </w:tc>
        <w:tc>
          <w:tcPr>
            <w:tcW w:type="pct" w:w="137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22"/>
            <w:tcMar>
              <w:top w:type="dxa" w:w="50"/>
              <w:left w:type="dxa" w:w="110"/>
              <w:bottom w:type="dxa" w:w="50"/>
              <w:right w:type="dxa" w:w="110"/>
            </w:tcMar>
          </w:tcPr>
          <w:p>
            <w:pPr>
              <w:spacing w:before="28" w:after="28"/>
            </w:pPr>
            <w:r>
              <w:rPr>
                <w:sz w:val="15"/>
                <w:szCs w:val="15"/>
              </w:rPr>
              <w:t xml:space="preserve">Effect on people</w:t>
            </w:r>
          </w:p>
        </w:tc>
        <w:tc>
          <w:tcPr>
            <w:tcW w:type="pct" w:w="2200"/>
            <w:tcMar>
              <w:top w:type="dxa" w:w="50"/>
              <w:left w:type="dxa" w:w="110"/>
              <w:bottom w:type="dxa" w:w="50"/>
              <w:right w:type="dxa" w:w="110"/>
            </w:tcMar>
          </w:tcPr>
          <w:p>
            <w:pPr>
              <w:spacing w:before="28" w:after="28"/>
            </w:pPr>
            <w:r>
              <w:rPr>
                <w:sz w:val="15"/>
                <w:szCs w:val="15"/>
              </w:rPr>
              <w:t xml:space="preserve">Can demotivate if used to judge them</w:t>
            </w:r>
          </w:p>
        </w:tc>
        <w:tc>
          <w:tcPr>
            <w:tcW w:type="pct" w:w="1378"/>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422"/>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2200"/>
            <w:shd w:fill="FBFAF6" w:val="clear"/>
            <w:tcMar>
              <w:top w:type="dxa" w:w="50"/>
              <w:left w:type="dxa" w:w="110"/>
              <w:bottom w:type="dxa" w:w="50"/>
              <w:right w:type="dxa" w:w="110"/>
            </w:tcMar>
          </w:tcPr>
          <w:p>
            <w:pPr>
              <w:spacing w:before="28" w:after="28"/>
            </w:pPr>
            <w:r>
              <w:rPr>
                <w:sz w:val="15"/>
                <w:szCs w:val="15"/>
              </w:rPr>
              <w:t xml:space="preserve">0.0%</w:t>
            </w:r>
          </w:p>
        </w:tc>
        <w:tc>
          <w:tcPr>
            <w:tcW w:type="pct" w:w="1378"/>
            <w:shd w:fill="FBFAF6" w:val="clear"/>
            <w:tcMar>
              <w:top w:type="dxa" w:w="50"/>
              <w:left w:type="dxa" w:w="110"/>
              <w:bottom w:type="dxa" w:w="50"/>
              <w:right w:type="dxa" w:w="110"/>
            </w:tcMar>
          </w:tcPr>
          <w:p>
            <w:pPr>
              <w:spacing w:before="28" w:after="28"/>
            </w:pPr>
            <w:r>
              <w:rPr>
                <w:sz w:val="15"/>
                <w:szCs w:val="15"/>
              </w:rPr>
              <w:t xml:space="preserve">2.0% this year; 1.2% after kaizen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Motivates: hard but possible   ·   Sets this year's target and judges performance   ·   Efficient work with normal waste and breaks   ·   2.0% this year; 1.2% after kaizen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continuous improvement   ·   kaizen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closer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Sets this year's target and judges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program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Motivates: hard but 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continuous 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 Judging people against the ideal standard can demotivate them, because it is never met; using it to show the remaining waste motivates improvement.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cost of quality has four parts. </w:t>
      </w:r>
      <w:r>
        <w:rPr>
          <w:sz w:val="19"/>
          <w:szCs w:val="19"/>
        </w:rPr>
        <w:t xml:space="preserve">Prevention costs stop defects before they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Appraisal costs find defects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testing.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Internal failure costs arise from defects found before the product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customer, such as scrap and rework. </w:t>
      </w:r>
      <w:r>
        <w:rPr>
          <w:sz w:val="19"/>
          <w:szCs w:val="19"/>
        </w:rPr>
        <w:t xml:space="preserve">External failure costs arise from defects the customer finds, such as returns, complaints and lost sales. </w:t>
      </w:r>
      <w:r>
        <w:rPr>
          <w:sz w:val="19"/>
          <w:szCs w:val="19"/>
        </w:rPr>
        <w:t xml:space="preserve">Failure costs are 68% of the total $950,000,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category is external failure.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largest   ·   conformance   ·   reaches   ·   Together   ·   happen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27"/>
        <w:gridCol w:w="364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9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00"/>
            <w:tcMar>
              <w:top w:type="dxa" w:w="50"/>
              <w:left w:type="dxa" w:w="110"/>
              <w:bottom w:type="dxa" w:w="50"/>
              <w:right w:type="dxa" w:w="110"/>
            </w:tcMar>
          </w:tcPr>
          <w:p>
            <w:pPr>
              <w:spacing w:before="28" w:after="28"/>
            </w:pPr>
            <w:r>
              <w:rPr>
                <w:sz w:val="15"/>
                <w:szCs w:val="15"/>
              </w:rPr>
              <w:t xml:space="preserve">30,000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00"/>
            <w:shd w:fill="FBFAF6" w:val="clear"/>
            <w:tcMar>
              <w:top w:type="dxa" w:w="50"/>
              <w:left w:type="dxa" w:w="110"/>
              <w:bottom w:type="dxa" w:w="50"/>
              <w:right w:type="dxa" w:w="110"/>
            </w:tcMar>
          </w:tcPr>
          <w:p>
            <w:pPr>
              <w:spacing w:before="28" w:after="28"/>
            </w:pPr>
            <w:r>
              <w:rPr>
                <w:sz w:val="15"/>
                <w:szCs w:val="15"/>
              </w:rPr>
              <w:t xml:space="preserve">40,000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00"/>
            <w:tcMar>
              <w:top w:type="dxa" w:w="50"/>
              <w:left w:type="dxa" w:w="110"/>
              <w:bottom w:type="dxa" w:w="50"/>
              <w:right w:type="dxa" w:w="110"/>
            </w:tcMar>
          </w:tcPr>
          <w:p>
            <w:pPr>
              <w:spacing w:before="28" w:after="28"/>
            </w:pPr>
            <w:r>
              <w:rPr>
                <w:sz w:val="15"/>
                <w:szCs w:val="15"/>
              </w:rPr>
              <w:t xml:space="preserve">50,000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Prevention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tcMar>
              <w:top w:type="dxa" w:w="50"/>
              <w:left w:type="dxa" w:w="110"/>
              <w:bottom w:type="dxa" w:w="50"/>
              <w:right w:type="dxa" w:w="110"/>
            </w:tcMar>
          </w:tcPr>
          <w:p>
            <w:pPr>
              <w:spacing w:before="28" w:after="28"/>
            </w:pPr>
            <w:r>
              <w:rPr>
                <w:sz w:val="15"/>
                <w:szCs w:val="15"/>
              </w:rPr>
              <w:t xml:space="preserve">Testing incoming concentrate</w:t>
            </w:r>
          </w:p>
        </w:tc>
        <w:tc>
          <w:tcPr>
            <w:tcW w:type="pct" w:w="900"/>
            <w:tcMar>
              <w:top w:type="dxa" w:w="50"/>
              <w:left w:type="dxa" w:w="110"/>
              <w:bottom w:type="dxa" w:w="50"/>
              <w:right w:type="dxa" w:w="110"/>
            </w:tcMar>
          </w:tcPr>
          <w:p>
            <w:pPr>
              <w:spacing w:before="28" w:after="28"/>
            </w:pPr>
            <w:r>
              <w:rPr>
                <w:sz w:val="15"/>
                <w:szCs w:val="15"/>
              </w:rPr>
              <w:t xml:space="preserve">45,000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00"/>
            <w:shd w:fill="FBFAF6" w:val="clear"/>
            <w:tcMar>
              <w:top w:type="dxa" w:w="50"/>
              <w:left w:type="dxa" w:w="110"/>
              <w:bottom w:type="dxa" w:w="50"/>
              <w:right w:type="dxa" w:w="110"/>
            </w:tcMar>
          </w:tcPr>
          <w:p>
            <w:pPr>
              <w:spacing w:before="28" w:after="28"/>
            </w:pPr>
            <w:r>
              <w:rPr>
                <w:sz w:val="15"/>
                <w:szCs w:val="15"/>
              </w:rPr>
              <w:t xml:space="preserve">80,000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00"/>
            <w:tcMar>
              <w:top w:type="dxa" w:w="50"/>
              <w:left w:type="dxa" w:w="110"/>
              <w:bottom w:type="dxa" w:w="50"/>
              <w:right w:type="dxa" w:w="110"/>
            </w:tcMar>
          </w:tcPr>
          <w:p>
            <w:pPr>
              <w:spacing w:before="28" w:after="28"/>
            </w:pPr>
            <w:r>
              <w:rPr>
                <w:sz w:val="15"/>
                <w:szCs w:val="15"/>
              </w:rPr>
              <w:t xml:space="preserve">55,000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00"/>
            <w:tcMar>
              <w:top w:type="dxa" w:w="50"/>
              <w:left w:type="dxa" w:w="110"/>
              <w:bottom w:type="dxa" w:w="50"/>
              <w:right w:type="dxa" w:w="110"/>
            </w:tcMar>
          </w:tcPr>
          <w:p>
            <w:pPr>
              <w:spacing w:before="28" w:after="28"/>
            </w:pPr>
            <w:r>
              <w:rPr>
                <w:sz w:val="15"/>
                <w:szCs w:val="15"/>
              </w:rPr>
              <w:t xml:space="preserve">150,000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900"/>
            <w:shd w:fill="FBFAF6" w:val="clear"/>
            <w:tcMar>
              <w:top w:type="dxa" w:w="50"/>
              <w:left w:type="dxa" w:w="110"/>
              <w:bottom w:type="dxa" w:w="50"/>
              <w:right w:type="dxa" w:w="110"/>
            </w:tcMar>
          </w:tcPr>
          <w:p>
            <w:pPr>
              <w:spacing w:before="28" w:after="28"/>
            </w:pPr>
            <w:r>
              <w:rPr>
                <w:sz w:val="15"/>
                <w:szCs w:val="15"/>
              </w:rPr>
              <w:t xml:space="preserve">60,000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Line stops after failures</w:t>
            </w:r>
          </w:p>
        </w:tc>
        <w:tc>
          <w:tcPr>
            <w:tcW w:type="pct" w:w="900"/>
            <w:tcMar>
              <w:top w:type="dxa" w:w="50"/>
              <w:left w:type="dxa" w:w="110"/>
              <w:bottom w:type="dxa" w:w="50"/>
              <w:right w:type="dxa" w:w="110"/>
            </w:tcMar>
          </w:tcPr>
          <w:p>
            <w:pPr>
              <w:spacing w:before="28" w:after="28"/>
            </w:pPr>
            <w:r>
              <w:rPr>
                <w:sz w:val="15"/>
                <w:szCs w:val="15"/>
              </w:rPr>
              <w:t xml:space="preserve">40,000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tcMar>
              <w:top w:type="dxa" w:w="50"/>
              <w:left w:type="dxa" w:w="110"/>
              <w:bottom w:type="dxa" w:w="50"/>
              <w:right w:type="dxa" w:w="110"/>
            </w:tcMar>
          </w:tcPr>
          <w:p>
            <w:pPr>
              <w:spacing w:before="28" w:after="28"/>
            </w:pPr>
            <w:r>
              <w:rPr>
                <w:sz w:val="15"/>
                <w:szCs w:val="15"/>
              </w:rPr>
              <w:t xml:space="preserve">Returns and replacements</w:t>
            </w:r>
          </w:p>
        </w:tc>
        <w:tc>
          <w:tcPr>
            <w:tcW w:type="pct" w:w="900"/>
            <w:tcMar>
              <w:top w:type="dxa" w:w="50"/>
              <w:left w:type="dxa" w:w="110"/>
              <w:bottom w:type="dxa" w:w="50"/>
              <w:right w:type="dxa" w:w="110"/>
            </w:tcMar>
          </w:tcPr>
          <w:p>
            <w:pPr>
              <w:spacing w:before="28" w:after="28"/>
            </w:pPr>
            <w:r>
              <w:rPr>
                <w:sz w:val="15"/>
                <w:szCs w:val="15"/>
              </w:rPr>
              <w:t xml:space="preserve">200,000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900"/>
            <w:shd w:fill="FBFAF6" w:val="clear"/>
            <w:tcMar>
              <w:top w:type="dxa" w:w="50"/>
              <w:left w:type="dxa" w:w="110"/>
              <w:bottom w:type="dxa" w:w="50"/>
              <w:right w:type="dxa" w:w="110"/>
            </w:tcMar>
          </w:tcPr>
          <w:p>
            <w:pPr>
              <w:spacing w:before="28" w:after="28"/>
            </w:pPr>
            <w:r>
              <w:rPr>
                <w:sz w:val="15"/>
                <w:szCs w:val="15"/>
              </w:rPr>
              <w:t xml:space="preserve">50,000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900"/>
            <w:tcMar>
              <w:top w:type="dxa" w:w="50"/>
              <w:left w:type="dxa" w:w="110"/>
              <w:bottom w:type="dxa" w:w="50"/>
              <w:right w:type="dxa" w:w="110"/>
            </w:tcMar>
          </w:tcPr>
          <w:p>
            <w:pPr>
              <w:spacing w:before="28" w:after="28"/>
            </w:pPr>
            <w:r>
              <w:rPr>
                <w:sz w:val="15"/>
                <w:szCs w:val="15"/>
              </w:rPr>
              <w:t xml:space="preserve">150,000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900"/>
            <w:tcMar>
              <w:top w:type="dxa" w:w="50"/>
              <w:left w:type="dxa" w:w="110"/>
              <w:bottom w:type="dxa" w:w="50"/>
              <w:right w:type="dxa" w:w="110"/>
            </w:tcMar>
          </w:tcPr>
          <w:p>
            <w:pPr>
              <w:spacing w:before="28" w:after="28"/>
            </w:pPr>
            <w:r>
              <w:rPr>
                <w:sz w:val="15"/>
                <w:szCs w:val="15"/>
              </w:rPr>
              <w:t xml:space="preserve"> </w:t>
            </w:r>
          </w:p>
        </w:tc>
        <w:tc>
          <w:tcPr>
            <w:tcW w:type="pct" w:w="190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 tests of finished juice   ·   Spoiled batches   ·   Supplier audits   ·   total quality management   ·   Quality training for staff   ·   Preventive maintenance of the fillers   ·   In-line checks of fill and seal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Lost sales and lost customers do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the ledger, but they are external failure costs. </w:t>
      </w:r>
      <w:r>
        <w:rPr>
          <w:sz w:val="19"/>
          <w:szCs w:val="19"/>
        </w:rPr>
        <w:t xml:space="preserve">An exam answer that leaves them out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appear   ·   Prevention   ·   understates   ·   high-quality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Lab tests of finished juice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reaches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 training for staff</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appraisal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Preventive maintenance of the fillers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 Failure costs are 68% of the total $950,000, and the largest category is external failure.</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prevention, cuts appraisal by $40,000, and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external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total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falls from $950,000 to $667,500, a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$282,500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saving   ·   quality   ·   failure</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failure   ·   continuous improvement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Prevention</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Appraisal</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(cut by 60%)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failure (cut by 45%)   ·   Total after the program   ·   Total cost of quality</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Prevention rises,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else falls by more. </w:t>
      </w:r>
      <w:r>
        <w:rPr>
          <w:sz w:val="19"/>
          <w:szCs w:val="19"/>
        </w:rPr>
        <w:t xml:space="preserve">The net saving already deducts the extra prevention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process-control   ·   spending</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 failure (cut by 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Total after the program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pacing w:before="20" w:after="20"/>
        <w:ind w:left="240" w:hanging="240"/>
      </w:pPr>
      <w:r>
        <w:rPr>
          <w:b/>
          <w:bCs/>
          <w:color w:val="353A7C"/>
          <w:sz w:val="15"/>
          <w:szCs w:val="15"/>
        </w:rPr>
        <w:t xml:space="preserve">Summary 2   </w:t>
      </w:r>
      <w:r>
        <w:rPr>
          <w:color w:val="6B7280"/>
          <w:sz w:val="15"/>
          <w:szCs w:val="15"/>
        </w:rPr>
        <w:t xml:space="preserve">The total cost of quality falls from $950,000 to $667,500, a net saving of $282,500 a year.</w:t>
      </w:r>
    </w:p>
    <w:p>
      <w:pPr>
        <w:spacing w:before="20" w:after="20"/>
        <w:ind w:left="240" w:hanging="240"/>
      </w:pPr>
      <w:r>
        <w:rPr>
          <w:b/>
          <w:bCs/>
          <w:color w:val="353A7C"/>
          <w:sz w:val="15"/>
          <w:szCs w:val="15"/>
        </w:rPr>
        <w:t xml:space="preserve">Summary 3   </w:t>
      </w:r>
      <w:r>
        <w:rPr>
          <w:color w:val="6B7280"/>
          <w:sz w:val="15"/>
          <w:szCs w:val="15"/>
        </w:rPr>
        <w:t xml:space="preserve">Prevention rises, and everything else falls by more. The net saving already deducts the extra prevention spending.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prevention $120,000, appraisal $180,000, internal failure $250,000, external failure $400,000.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quality program (Section 16.4)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kaizen (Section 16.1). </w:t>
      </w:r>
      <w:r>
        <w:rPr>
          <w:sz w:val="19"/>
          <w:szCs w:val="19"/>
        </w:rPr>
        <w:t xml:space="preserve">Failure costs fall by $352,500 and appraisal by $40,000,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$110,000 of extra prevention. </w:t>
      </w:r>
      <w:r>
        <w:rPr>
          <w:sz w:val="19"/>
          <w:szCs w:val="19"/>
        </w:rPr>
        <w:t xml:space="preserve">With the kaizen saving, the total yearly impact is shown on the last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presented   ·   Improvements   ·   spending   ·   together   ·   changeover   ·   against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total yearly financial impact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yearly</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Fall in failure costs</w:t>
            </w:r>
          </w:p>
        </w:tc>
        <w:tc>
          <w:tcPr>
            <w:tcW w:type="pct" w:w="2400"/>
            <w:tcMar>
              <w:top w:type="dxa" w:w="50"/>
              <w:left w:type="dxa" w:w="110"/>
              <w:bottom w:type="dxa" w:w="50"/>
              <w:right w:type="dxa" w:w="110"/>
            </w:tcMar>
          </w:tcPr>
          <w:p>
            <w:pPr>
              <w:spacing w:before="28" w:after="28"/>
            </w:pPr>
            <w:r>
              <w:rPr>
                <w:sz w:val="15"/>
                <w:szCs w:val="15"/>
              </w:rPr>
              <w:t xml:space="preserve">352,500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Extra prevention costs</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282,500</w:t>
            </w:r>
          </w:p>
        </w:tc>
      </w:tr>
      <w:tr>
        <w:tc>
          <w:tcPr>
            <w:tcW w:type="pct" w:w="2600"/>
            <w:tcMar>
              <w:top w:type="dxa" w:w="50"/>
              <w:left w:type="dxa" w:w="110"/>
              <w:bottom w:type="dxa" w:w="50"/>
              <w:right w:type="dxa" w:w="110"/>
            </w:tcMar>
          </w:tcPr>
          <w:p>
            <w:pPr>
              <w:spacing w:before="28" w:after="28"/>
            </w:pPr>
            <w:r>
              <w:rPr>
                <w:sz w:val="15"/>
                <w:szCs w:val="15"/>
              </w:rPr>
              <w:t xml:space="preserve">Kaizen saving on changeovers</w:t>
            </w:r>
          </w:p>
        </w:tc>
        <w:tc>
          <w:tcPr>
            <w:tcW w:type="pct" w:w="2400"/>
            <w:tcMar>
              <w:top w:type="dxa" w:w="50"/>
              <w:left w:type="dxa" w:w="110"/>
              <w:bottom w:type="dxa" w:w="50"/>
              <w:right w:type="dxa" w:w="110"/>
            </w:tcMar>
          </w:tcPr>
          <w:p>
            <w:pPr>
              <w:spacing w:before="28" w:after="28"/>
            </w:pPr>
            <w:r>
              <w:rPr>
                <w:sz w:val="15"/>
                <w:szCs w:val="15"/>
              </w:rPr>
              <w:t xml:space="preserve">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yearly financial impact</w:t>
            </w:r>
          </w:p>
        </w:tc>
        <w:tc>
          <w:tcPr>
            <w:tcW w:type="pct" w:w="2400"/>
            <w:shd w:fill="FBFAF6" w:val="clear"/>
            <w:tcMar>
              <w:top w:type="dxa" w:w="50"/>
              <w:left w:type="dxa" w:w="110"/>
              <w:bottom w:type="dxa" w:w="50"/>
              <w:right w:type="dxa" w:w="110"/>
            </w:tcMar>
          </w:tcPr>
          <w:p>
            <w:pPr>
              <w:spacing w:before="28" w:after="28"/>
            </w:pPr>
            <w:r>
              <w:rPr>
                <w:sz w:val="15"/>
                <w:szCs w:val="15"/>
              </w:rPr>
              <w:t xml:space="preserve">382,500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saving in the cost of quality   ·   Fall in appraisal costs   ·   $400,000 × (100% − 60%) = $160,000</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Failure costs fall from 68% to 45% of the total: the division now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its quality money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earlier   ·   prevention   ·   spends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Fall in failure costs $352,500 + fall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appraisal   ·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raises prevention or appraisal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failure costs. </w:t>
      </w:r>
      <w:r>
        <w:rPr>
          <w:sz w:val="19"/>
          <w:szCs w:val="19"/>
        </w:rPr>
        <w:t xml:space="preserve">Classify first, then compute the new total; the answer is the net change, after the extra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proposal   ·   failure   ·   lowers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audits   ·   Staff training in hygiene   ·   Returns from Barada   ·   Reworking under-filled jars   ·   Scrapped batches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BFAF6" w:val="clear"/>
            <w:tcMar>
              <w:top w:type="dxa" w:w="50"/>
              <w:left w:type="dxa" w:w="110"/>
              <w:bottom w:type="dxa" w:w="50"/>
              <w:right w:type="dxa" w:w="110"/>
            </w:tcMar>
          </w:tcPr>
          <w:p>
            <w:pPr>
              <w:spacing w:before="28" w:after="28"/>
            </w:pPr>
            <w:r>
              <w:rPr>
                <w:sz w:val="15"/>
                <w:szCs w:val="15"/>
              </w:rPr>
              <w:t xml:space="preserve">$400,000 × (100% − 60%) = $160,000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(100% − 60%) = $160,000   ·   $250,000 × (100% − 45%) = $137,500</w:t>
            </w:r>
          </w:p>
        </w:tc>
      </w:tr>
    </w:tbl>
    <w:p/>
    <w:p>
      <w:pPr>
        <w:pageBreakBefore w:val="true"/>
        <w:spacing w:after="0"/>
      </w:pPr>
      <w:r>
        <w:rPr>
          <w:sz w:val="2"/>
        </w:rPr>
        <w:t xml:space="preserve"> </w:t>
      </w:r>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Scrapped batches   ·   Testing incoming sesame   ·   Handling customer complaints   ·   Staff training in hygiene   ·   Returns from Barada   ·   Final inspection of jars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quality   ·   total quality management   ·   external failure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 audits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Fall in appraisal costs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$250,000 × (100% − 45%) = $137,500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Net saving in the cost of quality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spends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Final inspection of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lowers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external failure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 Failure costs fall by $352,500 and appraisal by $40,000, against $110,000 of extra prevention. With the kaizen saving, the total yearly impact is shown on the last line.</w:t>
      </w:r>
    </w:p>
    <w:p>
      <w:pPr>
        <w:spacing w:before="20" w:after="20"/>
        <w:ind w:left="240" w:hanging="240"/>
      </w:pPr>
      <w:r>
        <w:rPr>
          <w:b/>
          <w:bCs/>
          <w:color w:val="353A7C"/>
          <w:sz w:val="15"/>
          <w:szCs w:val="15"/>
        </w:rPr>
        <w:t xml:space="preserve">Summary 2   </w:t>
      </w:r>
      <w:r>
        <w:rPr>
          <w:color w:val="6B7280"/>
          <w:sz w:val="15"/>
          <w:szCs w:val="15"/>
        </w:rPr>
        <w:t xml:space="preserve">Failure costs fall from 68% to 45% of the total: the division now spends its quality money earlier in the process.</w:t>
      </w:r>
    </w:p>
    <w:p>
      <w:pPr>
        <w:spacing w:before="20" w:after="20"/>
        <w:ind w:left="240" w:hanging="240"/>
      </w:pPr>
      <w:r>
        <w:rPr>
          <w:b/>
          <w:bCs/>
          <w:color w:val="353A7C"/>
          <w:sz w:val="15"/>
          <w:szCs w:val="15"/>
        </w:rPr>
        <w:t xml:space="preserve">Summary 3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4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32668cfca813dd2a21685f2486c83ef38408253.png" Type="http://schemas.openxmlformats.org/officeDocument/2006/relationships/image"/><Relationship Id="rId102" Target="media/78425441293825afbafa4817808d6d7811e5351b.png" Type="http://schemas.openxmlformats.org/officeDocument/2006/relationships/image"/><Relationship Id="rId103" Target="media/9513d932ac06f3e4e98ef7d43c46d875de6a8acf.png" Type="http://schemas.openxmlformats.org/officeDocument/2006/relationships/image"/><Relationship Id="rId104" Target="media/4a4a9c282b7f449b72736fe0621aa547d626bc05.png" Type="http://schemas.openxmlformats.org/officeDocument/2006/relationships/image"/><Relationship Id="rId105" Target="media/f64e9889ec720f52237a5c0df8c7b88bde78d364.png" Type="http://schemas.openxmlformats.org/officeDocument/2006/relationships/image"/><Relationship Id="rId106" Target="media/35d86ec3c8a7e8a3fbe226110d6a7738207cfe17.png" Type="http://schemas.openxmlformats.org/officeDocument/2006/relationships/image"/><Relationship Id="rId107" Target="media/f4be0ba8f01035b873580d5140bcc46927017d8e.png" Type="http://schemas.openxmlformats.org/officeDocument/2006/relationships/image"/><Relationship Id="rId108" Target="media/07df43b12ece2cf736c6cbf1a96d7e57a752041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16</dc:title>
  <dc:subject>Summary handouts</dc:subject>
  <cp:category>Student Book</cp:category>
</cp:coreProperties>
</file>