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quantity and the standard price of every input.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Budgets   ·   conditions   ·   planned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91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915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The same standards later measure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An ideal standard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perfect conditions: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currently attainable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normal loss, rest, setups and normal downtime. </w:t>
      </w:r>
      <w:r>
        <w:rPr>
          <w:sz w:val="19"/>
          <w:szCs w:val="19"/>
        </w:rPr>
        <w:t xml:space="preserve">It is hard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trained team working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r>
        <w:rPr>
          <w:sz w:val="19"/>
          <w:szCs w:val="19"/>
        </w:rPr>
        <w:t xml:space="preserve">Budgets and product costs use attainable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ideal shows how much waste is still left to remove.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possible   ·   assumes   ·   breakdowns   ·   efficiently   ·   perfect   ·   allows   ·   standards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79"/>
        <w:gridCol w:w="3971"/>
        <w:gridCol w:w="36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030"/>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68"/>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1901"/>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030"/>
            <w:tcMar>
              <w:top w:type="dxa" w:w="50"/>
              <w:left w:type="dxa" w:w="110"/>
              <w:bottom w:type="dxa" w:w="50"/>
              <w:right w:type="dxa" w:w="110"/>
            </w:tcMar>
          </w:tcPr>
          <w:p>
            <w:pPr>
              <w:spacing w:before="28" w:after="28"/>
            </w:pPr>
            <w:r>
              <w:rPr>
                <w:sz w:val="15"/>
                <w:szCs w:val="15"/>
              </w:rPr>
              <w:t xml:space="preserve">Allowances</w:t>
            </w:r>
          </w:p>
        </w:tc>
        <w:tc>
          <w:tcPr>
            <w:tcW w:type="pct" w:w="20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901"/>
            <w:tcMar>
              <w:top w:type="dxa" w:w="50"/>
              <w:left w:type="dxa" w:w="110"/>
              <w:bottom w:type="dxa" w:w="50"/>
              <w:right w:type="dxa" w:w="110"/>
            </w:tcMar>
          </w:tcPr>
          <w:p>
            <w:pPr>
              <w:spacing w:before="28" w:after="28"/>
            </w:pPr>
            <w:r>
              <w:rPr>
                <w:sz w:val="15"/>
                <w:szCs w:val="15"/>
              </w:rPr>
              <w:t xml:space="preserve">Normal loss, rest, setups, normal downtime</w:t>
            </w:r>
          </w:p>
        </w:tc>
      </w:tr>
      <w:tr>
        <w:tc>
          <w:tcPr>
            <w:tcW w:type="pct" w:w="1030"/>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2068"/>
            <w:shd w:fill="FBFAF6" w:val="clear"/>
            <w:tcMar>
              <w:top w:type="dxa" w:w="50"/>
              <w:left w:type="dxa" w:w="110"/>
              <w:bottom w:type="dxa" w:w="50"/>
              <w:right w:type="dxa" w:w="110"/>
            </w:tcMar>
          </w:tcPr>
          <w:p>
            <w:pPr>
              <w:spacing w:before="28" w:after="28"/>
            </w:pPr>
            <w:r>
              <w:rPr>
                <w:sz w:val="15"/>
                <w:szCs w:val="15"/>
              </w:rPr>
              <w:t xml:space="preserve">0.040 hours</w:t>
            </w:r>
          </w:p>
        </w:tc>
        <w:tc>
          <w:tcPr>
            <w:tcW w:type="pct" w:w="1901"/>
            <w:shd w:fill="FBFAF6" w:val="clear"/>
            <w:tcMar>
              <w:top w:type="dxa" w:w="50"/>
              <w:left w:type="dxa" w:w="110"/>
              <w:bottom w:type="dxa" w:w="50"/>
              <w:right w:type="dxa" w:w="110"/>
            </w:tcMar>
          </w:tcPr>
          <w:p>
            <w:pPr>
              <w:spacing w:before="28" w:after="28"/>
            </w:pPr>
            <w:r>
              <w:rPr>
                <w:sz w:val="15"/>
                <w:szCs w:val="15"/>
              </w:rPr>
              <w:t xml:space="preserve">0.050 hours</w:t>
            </w:r>
          </w:p>
        </w:tc>
      </w:tr>
      <w:tr>
        <w:tc>
          <w:tcPr>
            <w:tcW w:type="pct" w:w="1030"/>
            <w:tcMar>
              <w:top w:type="dxa" w:w="50"/>
              <w:left w:type="dxa" w:w="110"/>
              <w:bottom w:type="dxa" w:w="50"/>
              <w:right w:type="dxa" w:w="110"/>
            </w:tcMar>
          </w:tcPr>
          <w:p>
            <w:pPr>
              <w:spacing w:before="28" w:after="28"/>
            </w:pPr>
            <w:r>
              <w:rPr>
                <w:sz w:val="15"/>
                <w:szCs w:val="15"/>
              </w:rPr>
              <w:t xml:space="preserve">Labor cost per case</w:t>
            </w:r>
          </w:p>
        </w:tc>
        <w:tc>
          <w:tcPr>
            <w:tcW w:type="pct" w:w="2068"/>
            <w:tcMar>
              <w:top w:type="dxa" w:w="50"/>
              <w:left w:type="dxa" w:w="110"/>
              <w:bottom w:type="dxa" w:w="50"/>
              <w:right w:type="dxa" w:w="110"/>
            </w:tcMar>
          </w:tcPr>
          <w:p>
            <w:pPr>
              <w:spacing w:before="28" w:after="28"/>
            </w:pPr>
            <w:r>
              <w:rPr>
                <w:sz w:val="15"/>
                <w:szCs w:val="15"/>
              </w:rPr>
              <w:t xml:space="preserve">$0.48</w:t>
            </w:r>
          </w:p>
        </w:tc>
        <w:tc>
          <w:tcPr>
            <w:tcW w:type="pct" w:w="1901"/>
            <w:tcMar>
              <w:top w:type="dxa" w:w="50"/>
              <w:left w:type="dxa" w:w="110"/>
              <w:bottom w:type="dxa" w:w="50"/>
              <w:right w:type="dxa" w:w="110"/>
            </w:tcMar>
          </w:tcPr>
          <w:p>
            <w:pPr>
              <w:spacing w:before="28" w:after="28"/>
            </w:pPr>
            <w:r>
              <w:rPr>
                <w:sz w:val="15"/>
                <w:szCs w:val="15"/>
              </w:rPr>
              <w:t xml:space="preserve">$0.60</w:t>
            </w:r>
          </w:p>
        </w:tc>
      </w:tr>
      <w:tr>
        <w:tc>
          <w:tcPr>
            <w:tcW w:type="pct" w:w="1030"/>
            <w:shd w:fill="FBFAF6" w:val="clear"/>
            <w:tcMar>
              <w:top w:type="dxa" w:w="50"/>
              <w:left w:type="dxa" w:w="110"/>
              <w:bottom w:type="dxa" w:w="50"/>
              <w:right w:type="dxa" w:w="110"/>
            </w:tcMar>
          </w:tcPr>
          <w:p>
            <w:pPr>
              <w:spacing w:before="28" w:after="28"/>
            </w:pPr>
            <w:r>
              <w:rPr>
                <w:sz w:val="15"/>
                <w:szCs w:val="15"/>
              </w:rPr>
              <w:t xml:space="preserve">Best use</w:t>
            </w:r>
          </w:p>
        </w:tc>
        <w:tc>
          <w:tcPr>
            <w:tcW w:type="pct" w:w="2068"/>
            <w:shd w:fill="FBFAF6" w:val="clear"/>
            <w:tcMar>
              <w:top w:type="dxa" w:w="50"/>
              <w:left w:type="dxa" w:w="110"/>
              <w:bottom w:type="dxa" w:w="50"/>
              <w:right w:type="dxa" w:w="110"/>
            </w:tcMar>
          </w:tcPr>
          <w:p>
            <w:pPr>
              <w:spacing w:before="28" w:after="28"/>
            </w:pPr>
            <w:r>
              <w:rPr>
                <w:sz w:val="15"/>
                <w:szCs w:val="15"/>
              </w:rPr>
              <w:t xml:space="preserve">Shows the direction of improvement (Chapter 16)</w:t>
            </w:r>
          </w:p>
        </w:tc>
        <w:tc>
          <w:tcPr>
            <w:tcW w:type="pct" w:w="1901"/>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rest, setups, normal downtime   ·   Budgets, product costs and judging performance   ·   None: perfect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None: perfect 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Budgets, product costs and judging performance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 Budgets and product costs use attainable standards; the ideal shows how much waste is still left to remove.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authoritative standard is set by management or engineers alone. </w:t>
      </w:r>
      <w:r>
        <w:rPr>
          <w:sz w:val="19"/>
          <w:szCs w:val="19"/>
        </w:rPr>
        <w:t xml:space="preserve">A participative standard is set with the people who must meet it. </w:t>
      </w:r>
      <w:r>
        <w:rPr>
          <w:sz w:val="19"/>
          <w:szCs w:val="19"/>
        </w:rPr>
        <w:t xml:space="preserve">The juice labor standard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supervisors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out that the proposal had no time for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runs. </w:t>
      </w:r>
      <w:r>
        <w:rPr>
          <w:sz w:val="19"/>
          <w:szCs w:val="19"/>
        </w:rPr>
        <w:t xml:space="preserve">After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builds acceptance,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people help set the target. </w:t>
      </w:r>
      <w:r>
        <w:rPr>
          <w:sz w:val="19"/>
          <w:szCs w:val="19"/>
        </w:rPr>
        <w:t xml:space="preserve">The risk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people may ask for easy standards.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discussion   ·   padding   ·   started   ·   management   ·   decision   ·   pointed   ·   between   ·   Participation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10"/>
        <w:gridCol w:w="3166"/>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15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49"/>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151"/>
            <w:tcMar>
              <w:top w:type="dxa" w:w="50"/>
              <w:left w:type="dxa" w:w="110"/>
              <w:bottom w:type="dxa" w:w="50"/>
              <w:right w:type="dxa" w:w="110"/>
            </w:tcMar>
          </w:tcPr>
          <w:p>
            <w:pPr>
              <w:spacing w:before="28" w:after="28"/>
            </w:pPr>
            <w:r>
              <w:rPr>
                <w:sz w:val="15"/>
                <w:szCs w:val="15"/>
              </w:rPr>
              <w:t xml:space="preserve">Who sets it</w:t>
            </w:r>
          </w:p>
        </w:tc>
        <w:tc>
          <w:tcPr>
            <w:tcW w:type="pct" w:w="1649"/>
            <w:tcMar>
              <w:top w:type="dxa" w:w="50"/>
              <w:left w:type="dxa" w:w="110"/>
              <w:bottom w:type="dxa" w:w="50"/>
              <w:right w:type="dxa" w:w="110"/>
            </w:tcMar>
          </w:tcPr>
          <w:p>
            <w:pPr>
              <w:spacing w:before="28" w:after="28"/>
            </w:pPr>
            <w:r>
              <w:rPr>
                <w:sz w:val="15"/>
                <w:szCs w:val="15"/>
              </w:rPr>
              <w:t xml:space="preserve">Management or engineers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151"/>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64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151"/>
            <w:tcMar>
              <w:top w:type="dxa" w:w="50"/>
              <w:left w:type="dxa" w:w="110"/>
              <w:bottom w:type="dxa" w:w="50"/>
              <w:right w:type="dxa" w:w="110"/>
            </w:tcMar>
          </w:tcPr>
          <w:p>
            <w:pPr>
              <w:spacing w:before="28" w:after="28"/>
            </w:pPr>
            <w:r>
              <w:rPr>
                <w:sz w:val="15"/>
                <w:szCs w:val="15"/>
              </w:rPr>
              <w:t xml:space="preserve">Strength</w:t>
            </w:r>
          </w:p>
        </w:tc>
        <w:tc>
          <w:tcPr>
            <w:tcW w:type="pct" w:w="1649"/>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151"/>
            <w:shd w:fill="FBFAF6" w:val="clear"/>
            <w:tcMar>
              <w:top w:type="dxa" w:w="50"/>
              <w:left w:type="dxa" w:w="110"/>
              <w:bottom w:type="dxa" w:w="50"/>
              <w:right w:type="dxa" w:w="110"/>
            </w:tcMar>
          </w:tcPr>
          <w:p>
            <w:pPr>
              <w:spacing w:before="28" w:after="28"/>
            </w:pPr>
            <w:r>
              <w:rPr>
                <w:sz w:val="15"/>
                <w:szCs w:val="15"/>
              </w:rPr>
              <w:t xml:space="preserve">Risk</w:t>
            </w:r>
          </w:p>
        </w:tc>
        <w:tc>
          <w:tcPr>
            <w:tcW w:type="pct" w:w="164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with the people who must meet it   ·   Realistic; people accept and own the standard   ·   Engineers proposed 0.045 hours   ·   Line supervisors added cleaning time: 0.050 hours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padding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between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 with the people who must meet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p>
      <w:pPr>
        <w:spacing w:before="44" w:after="10"/>
      </w:pPr>
      <w:r>
        <w:rPr>
          <w:b/>
          <w:bCs/>
          <w:color w:val="353A7C"/>
          <w:sz w:val="18"/>
          <w:szCs w:val="18"/>
        </w:rPr>
        <w:t xml:space="preserve">Worked example: the concentrate price standard</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8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874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$0.90   ·   $0.88   ·   $(0.04)</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The quantity standard starts from the net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one case and allows for normal loss, such as tank residue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the line.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   quantity   ·   Abnormal   ·   spillage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0.050 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14–16</w:t>
      </w:r>
    </w:p>
    <w:p>
      <w:pPr>
        <w:spacing w:before="20" w:after="20" w:line="360" w:lineRule="auto"/>
        <w:ind w:left="200"/>
      </w:pPr>
      <w:r>
        <w:rPr>
          <w:sz w:val="19"/>
          <w:szCs w:val="19"/>
        </w:rPr>
        <w:t xml:space="preserve">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often use the list price, or the net quantity without normal loss, or the wage without benefits. </w:t>
      </w:r>
      <w:r>
        <w:rPr>
          <w:sz w:val="19"/>
          <w:szCs w:val="19"/>
        </w:rPr>
        <w:t xml:space="preserve">The correct standard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 normal costs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getting   ·   testing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price standard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$(0.04)</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$0.90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includes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spillage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quantity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price standard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analysis sets a standard by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how the work should be done: time and motion studies, recipes and engineering tests. </w:t>
      </w:r>
      <w:r>
        <w:rPr>
          <w:sz w:val="19"/>
          <w:szCs w:val="19"/>
        </w:rPr>
        <w:t xml:space="preserve">The juice time study found a basic time of 0.040 hours a case. </w:t>
      </w:r>
      <w:r>
        <w:rPr>
          <w:sz w:val="19"/>
          <w:szCs w:val="19"/>
        </w:rPr>
        <w:t xml:space="preserve">Historical data uses past results. </w:t>
      </w:r>
      <w:r>
        <w:rPr>
          <w:sz w:val="19"/>
          <w:szCs w:val="19"/>
        </w:rPr>
        <w:t xml:space="preserve">Over the last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months, labor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0.056 hours a case, and the best month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averaged   ·   techniques   ·   twelve   ·   engineering   ·   reached   ·   studying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studying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twelve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reached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puts every standard on one card and shows where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came. </w:t>
      </w:r>
      <w:r>
        <w:rPr>
          <w:sz w:val="19"/>
          <w:szCs w:val="19"/>
        </w:rPr>
        <w:t xml:space="preserve">Concentrate: 5.4 liters net ÷ 90% yield = 6.0 liters, at $0.90 a liter. </w:t>
      </w:r>
      <w:r>
        <w:rPr>
          <w:sz w:val="19"/>
          <w:szCs w:val="19"/>
        </w:rPr>
        <w:t xml:space="preserve">Bottles, caps and carton: from the Jordan Glass and supplier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Direct labor: 0.050 hours at $12.00 an hour. </w:t>
      </w:r>
      <w:r>
        <w:rPr>
          <w:sz w:val="19"/>
          <w:szCs w:val="19"/>
        </w:rPr>
        <w:t xml:space="preserve">Overhead: 0.02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hours at the variable and fixed rates from the. </w:t>
      </w:r>
      <w:r>
        <w:rPr>
          <w:sz w:val="19"/>
          <w:szCs w:val="19"/>
        </w:rPr>
        <w:t xml:space="preserve">The total is $12.60 a case, the standard used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contracts   ·   machine   ·   throughout   ·   discounts   ·   number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58"/>
        <w:gridCol w:w="1190"/>
        <w:gridCol w:w="1027"/>
        <w:gridCol w:w="937"/>
        <w:gridCol w:w="338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593"/>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20"/>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35"/>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488"/>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765"/>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593"/>
            <w:tcMar>
              <w:top w:type="dxa" w:w="50"/>
              <w:left w:type="dxa" w:w="110"/>
              <w:bottom w:type="dxa" w:w="50"/>
              <w:right w:type="dxa" w:w="110"/>
            </w:tcMar>
          </w:tcPr>
          <w:p>
            <w:pPr>
              <w:spacing w:before="28" w:after="28"/>
            </w:pPr>
            <w:r>
              <w:rPr>
                <w:sz w:val="15"/>
                <w:szCs w:val="15"/>
              </w:rPr>
              <w:t xml:space="preserve">Concentrate</w:t>
            </w:r>
          </w:p>
        </w:tc>
        <w:tc>
          <w:tcPr>
            <w:tcW w:type="pct" w:w="620"/>
            <w:tcMar>
              <w:top w:type="dxa" w:w="50"/>
              <w:left w:type="dxa" w:w="110"/>
              <w:bottom w:type="dxa" w:w="50"/>
              <w:right w:type="dxa" w:w="110"/>
            </w:tcMar>
          </w:tcPr>
          <w:p>
            <w:pPr>
              <w:spacing w:before="28" w:after="28"/>
            </w:pPr>
            <w:r>
              <w:rPr>
                <w:sz w:val="15"/>
                <w:szCs w:val="15"/>
              </w:rPr>
              <w:t xml:space="preserve">6.0 liters</w:t>
            </w:r>
          </w:p>
        </w:tc>
        <w:tc>
          <w:tcPr>
            <w:tcW w:type="pct" w:w="535"/>
            <w:tcMar>
              <w:top w:type="dxa" w:w="50"/>
              <w:left w:type="dxa" w:w="110"/>
              <w:bottom w:type="dxa" w:w="50"/>
              <w:right w:type="dxa" w:w="110"/>
            </w:tcMar>
          </w:tcPr>
          <w:p>
            <w:pPr>
              <w:spacing w:before="28" w:after="28"/>
            </w:pPr>
            <w:r>
              <w:rPr>
                <w:sz w:val="15"/>
                <w:szCs w:val="15"/>
              </w:rPr>
              <w:t xml:space="preserve">$0.90</w:t>
            </w:r>
          </w:p>
        </w:tc>
        <w:tc>
          <w:tcPr>
            <w:tcW w:type="pct" w:w="488"/>
            <w:tcMar>
              <w:top w:type="dxa" w:w="50"/>
              <w:left w:type="dxa" w:w="110"/>
              <w:bottom w:type="dxa" w:w="50"/>
              <w:right w:type="dxa" w:w="110"/>
            </w:tcMar>
          </w:tcPr>
          <w:p>
            <w:pPr>
              <w:spacing w:before="28" w:after="28"/>
            </w:pPr>
            <w:r>
              <w:rPr>
                <w:sz w:val="15"/>
                <w:szCs w:val="15"/>
              </w:rPr>
              <w:t xml:space="preserve">$5.40</w:t>
            </w:r>
          </w:p>
        </w:tc>
        <w:tc>
          <w:tcPr>
            <w:tcW w:type="pct" w:w="1765"/>
            <w:tcMar>
              <w:top w:type="dxa" w:w="50"/>
              <w:left w:type="dxa" w:w="110"/>
              <w:bottom w:type="dxa" w:w="50"/>
              <w:right w:type="dxa" w:w="110"/>
            </w:tcMar>
          </w:tcPr>
          <w:p>
            <w:pPr>
              <w:spacing w:before="28" w:after="28"/>
            </w:pPr>
            <w:r>
              <w:rPr>
                <w:sz w:val="15"/>
                <w:szCs w:val="15"/>
              </w:rPr>
              <w:t xml:space="preserve">Supplier quote + yield study</w:t>
            </w:r>
          </w:p>
        </w:tc>
      </w:tr>
      <w:tr>
        <w:tc>
          <w:tcPr>
            <w:tcW w:type="pct" w:w="1593"/>
            <w:shd w:fill="FBFAF6" w:val="clear"/>
            <w:tcMar>
              <w:top w:type="dxa" w:w="50"/>
              <w:left w:type="dxa" w:w="110"/>
              <w:bottom w:type="dxa" w:w="50"/>
              <w:right w:type="dxa" w:w="110"/>
            </w:tcMar>
          </w:tcPr>
          <w:p>
            <w:pPr>
              <w:spacing w:before="28" w:after="28"/>
            </w:pPr>
            <w:r>
              <w:rPr>
                <w:sz w:val="15"/>
                <w:szCs w:val="15"/>
              </w:rPr>
              <w:t xml:space="preserve">Bottles</w:t>
            </w:r>
          </w:p>
        </w:tc>
        <w:tc>
          <w:tcPr>
            <w:tcW w:type="pct" w:w="620"/>
            <w:shd w:fill="FBFAF6" w:val="clear"/>
            <w:tcMar>
              <w:top w:type="dxa" w:w="50"/>
              <w:left w:type="dxa" w:w="110"/>
              <w:bottom w:type="dxa" w:w="50"/>
              <w:right w:type="dxa" w:w="110"/>
            </w:tcMar>
          </w:tcPr>
          <w:p>
            <w:pPr>
              <w:spacing w:before="28" w:after="28"/>
            </w:pPr>
            <w:r>
              <w:rPr>
                <w:sz w:val="15"/>
                <w:szCs w:val="15"/>
              </w:rPr>
              <w:t xml:space="preserve">12</w:t>
            </w:r>
          </w:p>
        </w:tc>
        <w:tc>
          <w:tcPr>
            <w:tcW w:type="pct" w:w="535"/>
            <w:shd w:fill="FBFAF6" w:val="clear"/>
            <w:tcMar>
              <w:top w:type="dxa" w:w="50"/>
              <w:left w:type="dxa" w:w="110"/>
              <w:bottom w:type="dxa" w:w="50"/>
              <w:right w:type="dxa" w:w="110"/>
            </w:tcMar>
          </w:tcPr>
          <w:p>
            <w:pPr>
              <w:spacing w:before="28" w:after="28"/>
            </w:pPr>
            <w:r>
              <w:rPr>
                <w:sz w:val="15"/>
                <w:szCs w:val="15"/>
              </w:rPr>
              <w:t xml:space="preserve">$0.25</w:t>
            </w:r>
          </w:p>
        </w:tc>
        <w:tc>
          <w:tcPr>
            <w:tcW w:type="pct" w:w="488"/>
            <w:shd w:fill="FBFAF6" w:val="clear"/>
            <w:tcMar>
              <w:top w:type="dxa" w:w="50"/>
              <w:left w:type="dxa" w:w="110"/>
              <w:bottom w:type="dxa" w:w="50"/>
              <w:right w:type="dxa" w:w="110"/>
            </w:tcMar>
          </w:tcPr>
          <w:p>
            <w:pPr>
              <w:spacing w:before="28" w:after="28"/>
            </w:pPr>
            <w:r>
              <w:rPr>
                <w:sz w:val="15"/>
                <w:szCs w:val="15"/>
              </w:rPr>
              <w:t xml:space="preserve">$3.00</w:t>
            </w:r>
          </w:p>
        </w:tc>
        <w:tc>
          <w:tcPr>
            <w:tcW w:type="pct" w:w="1765"/>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593"/>
            <w:tcMar>
              <w:top w:type="dxa" w:w="50"/>
              <w:left w:type="dxa" w:w="110"/>
              <w:bottom w:type="dxa" w:w="50"/>
              <w:right w:type="dxa" w:w="110"/>
            </w:tcMar>
          </w:tcPr>
          <w:p>
            <w:pPr>
              <w:spacing w:before="28" w:after="28"/>
            </w:pPr>
            <w:r>
              <w:rPr>
                <w:sz w:val="15"/>
                <w:szCs w:val="15"/>
              </w:rPr>
              <w:t xml:space="preserve">Caps and carton</w:t>
            </w:r>
          </w:p>
        </w:tc>
        <w:tc>
          <w:tcPr>
            <w:tcW w:type="pct" w:w="620"/>
            <w:tcMar>
              <w:top w:type="dxa" w:w="50"/>
              <w:left w:type="dxa" w:w="110"/>
              <w:bottom w:type="dxa" w:w="50"/>
              <w:right w:type="dxa" w:w="110"/>
            </w:tcMar>
          </w:tcPr>
          <w:p>
            <w:pPr>
              <w:spacing w:before="28" w:after="28"/>
            </w:pPr>
            <w:r>
              <w:rPr>
                <w:sz w:val="15"/>
                <w:szCs w:val="15"/>
              </w:rPr>
              <w:t xml:space="preserve">1</w:t>
            </w:r>
          </w:p>
        </w:tc>
        <w:tc>
          <w:tcPr>
            <w:tcW w:type="pct" w:w="535"/>
            <w:tcMar>
              <w:top w:type="dxa" w:w="50"/>
              <w:left w:type="dxa" w:w="110"/>
              <w:bottom w:type="dxa" w:w="50"/>
              <w:right w:type="dxa" w:w="110"/>
            </w:tcMar>
          </w:tcPr>
          <w:p>
            <w:pPr>
              <w:spacing w:before="28" w:after="28"/>
            </w:pPr>
            <w:r>
              <w:rPr>
                <w:sz w:val="15"/>
                <w:szCs w:val="15"/>
              </w:rPr>
              <w:t xml:space="preserve">$0.60</w:t>
            </w:r>
          </w:p>
        </w:tc>
        <w:tc>
          <w:tcPr>
            <w:tcW w:type="pct" w:w="488"/>
            <w:tcMar>
              <w:top w:type="dxa" w:w="50"/>
              <w:left w:type="dxa" w:w="110"/>
              <w:bottom w:type="dxa" w:w="50"/>
              <w:right w:type="dxa" w:w="110"/>
            </w:tcMar>
          </w:tcPr>
          <w:p>
            <w:pPr>
              <w:spacing w:before="28" w:after="28"/>
            </w:pPr>
            <w:r>
              <w:rPr>
                <w:sz w:val="15"/>
                <w:szCs w:val="15"/>
              </w:rPr>
              <w:t xml:space="preserve">$0.60</w:t>
            </w:r>
          </w:p>
        </w:tc>
        <w:tc>
          <w:tcPr>
            <w:tcW w:type="pct" w:w="1765"/>
            <w:tcMar>
              <w:top w:type="dxa" w:w="50"/>
              <w:left w:type="dxa" w:w="110"/>
              <w:bottom w:type="dxa" w:w="50"/>
              <w:right w:type="dxa" w:w="110"/>
            </w:tcMar>
          </w:tcPr>
          <w:p>
            <w:pPr>
              <w:spacing w:before="28" w:after="28"/>
            </w:pPr>
            <w:r>
              <w:rPr>
                <w:sz w:val="15"/>
                <w:szCs w:val="15"/>
              </w:rPr>
              <w:t xml:space="preserve">Supplier contract</w:t>
            </w:r>
          </w:p>
        </w:tc>
      </w:tr>
      <w:tr>
        <w:tc>
          <w:tcPr>
            <w:tcW w:type="pct" w:w="1593"/>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2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535"/>
            <w:shd w:fill="FBFAF6" w:val="clear"/>
            <w:tcMar>
              <w:top w:type="dxa" w:w="50"/>
              <w:left w:type="dxa" w:w="110"/>
              <w:bottom w:type="dxa" w:w="50"/>
              <w:right w:type="dxa" w:w="110"/>
            </w:tcMar>
          </w:tcPr>
          <w:p>
            <w:pPr>
              <w:spacing w:before="28" w:after="28"/>
            </w:pPr>
            <w:r>
              <w:rPr>
                <w:sz w:val="15"/>
                <w:szCs w:val="15"/>
              </w:rPr>
              <w:t xml:space="preserve">$12.00</w:t>
            </w:r>
          </w:p>
        </w:tc>
        <w:tc>
          <w:tcPr>
            <w:tcW w:type="pct" w:w="488"/>
            <w:shd w:fill="FBFAF6" w:val="clear"/>
            <w:tcMar>
              <w:top w:type="dxa" w:w="50"/>
              <w:left w:type="dxa" w:w="110"/>
              <w:bottom w:type="dxa" w:w="50"/>
              <w:right w:type="dxa" w:w="110"/>
            </w:tcMar>
          </w:tcPr>
          <w:p>
            <w:pPr>
              <w:spacing w:before="28" w:after="28"/>
            </w:pPr>
            <w:r>
              <w:rPr>
                <w:sz w:val="15"/>
                <w:szCs w:val="15"/>
              </w:rPr>
              <w:t xml:space="preserve">$0.60</w:t>
            </w:r>
          </w:p>
        </w:tc>
        <w:tc>
          <w:tcPr>
            <w:tcW w:type="pct" w:w="1765"/>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593"/>
            <w:tcMar>
              <w:top w:type="dxa" w:w="50"/>
              <w:left w:type="dxa" w:w="110"/>
              <w:bottom w:type="dxa" w:w="50"/>
              <w:right w:type="dxa" w:w="110"/>
            </w:tcMar>
          </w:tcPr>
          <w:p>
            <w:pPr>
              <w:spacing w:before="28" w:after="28"/>
            </w:pPr>
            <w:r>
              <w:rPr>
                <w:sz w:val="15"/>
                <w:szCs w:val="15"/>
              </w:rPr>
              <w:t xml:space="preserve">Variable overhead</w:t>
            </w:r>
          </w:p>
        </w:tc>
        <w:tc>
          <w:tcPr>
            <w:tcW w:type="pct" w:w="620"/>
            <w:tcMar>
              <w:top w:type="dxa" w:w="50"/>
              <w:left w:type="dxa" w:w="110"/>
              <w:bottom w:type="dxa" w:w="50"/>
              <w:right w:type="dxa" w:w="110"/>
            </w:tcMar>
          </w:tcPr>
          <w:p>
            <w:pPr>
              <w:spacing w:before="28" w:after="28"/>
            </w:pPr>
            <w:r>
              <w:rPr>
                <w:sz w:val="15"/>
                <w:szCs w:val="15"/>
              </w:rPr>
              <w:t xml:space="preserve">0.02 MH</w:t>
            </w:r>
          </w:p>
        </w:tc>
        <w:tc>
          <w:tcPr>
            <w:tcW w:type="pct" w:w="535"/>
            <w:tcMar>
              <w:top w:type="dxa" w:w="50"/>
              <w:left w:type="dxa" w:w="110"/>
              <w:bottom w:type="dxa" w:w="50"/>
              <w:right w:type="dxa" w:w="110"/>
            </w:tcMar>
          </w:tcPr>
          <w:p>
            <w:pPr>
              <w:spacing w:before="28" w:after="28"/>
            </w:pPr>
            <w:r>
              <w:rPr>
                <w:sz w:val="15"/>
                <w:szCs w:val="15"/>
              </w:rPr>
              <w:t xml:space="preserve">$50.00</w:t>
            </w:r>
          </w:p>
        </w:tc>
        <w:tc>
          <w:tcPr>
            <w:tcW w:type="pct" w:w="488"/>
            <w:tcMar>
              <w:top w:type="dxa" w:w="50"/>
              <w:left w:type="dxa" w:w="110"/>
              <w:bottom w:type="dxa" w:w="50"/>
              <w:right w:type="dxa" w:w="110"/>
            </w:tcMar>
          </w:tcPr>
          <w:p>
            <w:pPr>
              <w:spacing w:before="28" w:after="28"/>
            </w:pPr>
            <w:r>
              <w:rPr>
                <w:sz w:val="15"/>
                <w:szCs w:val="15"/>
              </w:rPr>
              <w:t xml:space="preserve">$1.00</w:t>
            </w:r>
          </w:p>
        </w:tc>
        <w:tc>
          <w:tcPr>
            <w:tcW w:type="pct" w:w="1765"/>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593"/>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2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35"/>
            <w:shd w:fill="FBFAF6" w:val="clear"/>
            <w:tcMar>
              <w:top w:type="dxa" w:w="50"/>
              <w:left w:type="dxa" w:w="110"/>
              <w:bottom w:type="dxa" w:w="50"/>
              <w:right w:type="dxa" w:w="110"/>
            </w:tcMar>
          </w:tcPr>
          <w:p>
            <w:pPr>
              <w:spacing w:before="28" w:after="28"/>
            </w:pPr>
            <w:r>
              <w:rPr>
                <w:sz w:val="15"/>
                <w:szCs w:val="15"/>
              </w:rPr>
              <w:t xml:space="preserve">$100.00</w:t>
            </w:r>
          </w:p>
        </w:tc>
        <w:tc>
          <w:tcPr>
            <w:tcW w:type="pct" w:w="488"/>
            <w:shd w:fill="FBFAF6" w:val="clear"/>
            <w:tcMar>
              <w:top w:type="dxa" w:w="50"/>
              <w:left w:type="dxa" w:w="110"/>
              <w:bottom w:type="dxa" w:w="50"/>
              <w:right w:type="dxa" w:w="110"/>
            </w:tcMar>
          </w:tcPr>
          <w:p>
            <w:pPr>
              <w:spacing w:before="28" w:after="28"/>
            </w:pPr>
            <w:r>
              <w:rPr>
                <w:sz w:val="15"/>
                <w:szCs w:val="15"/>
              </w:rPr>
              <w:t xml:space="preserve">$2.00</w:t>
            </w:r>
          </w:p>
        </w:tc>
        <w:tc>
          <w:tcPr>
            <w:tcW w:type="pct" w:w="1765"/>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593"/>
            <w:tcMar>
              <w:top w:type="dxa" w:w="50"/>
              <w:left w:type="dxa" w:w="110"/>
              <w:bottom w:type="dxa" w:w="50"/>
              <w:right w:type="dxa" w:w="110"/>
            </w:tcMar>
          </w:tcPr>
          <w:p>
            <w:pPr>
              <w:spacing w:before="28" w:after="28"/>
            </w:pPr>
            <w:r>
              <w:rPr>
                <w:sz w:val="15"/>
                <w:szCs w:val="15"/>
              </w:rPr>
              <w:t xml:space="preserve">Standard cost per case</w:t>
            </w:r>
          </w:p>
        </w:tc>
        <w:tc>
          <w:tcPr>
            <w:tcW w:type="pct" w:w="620"/>
            <w:tcMar>
              <w:top w:type="dxa" w:w="50"/>
              <w:left w:type="dxa" w:w="110"/>
              <w:bottom w:type="dxa" w:w="50"/>
              <w:right w:type="dxa" w:w="110"/>
            </w:tcMar>
          </w:tcPr>
          <w:p>
            <w:pPr>
              <w:spacing w:before="28" w:after="28"/>
            </w:pPr>
            <w:r>
              <w:rPr>
                <w:sz w:val="15"/>
                <w:szCs w:val="15"/>
              </w:rPr>
              <w:t xml:space="preserve"> </w:t>
            </w:r>
          </w:p>
        </w:tc>
        <w:tc>
          <w:tcPr>
            <w:tcW w:type="pct" w:w="535"/>
            <w:tcMar>
              <w:top w:type="dxa" w:w="50"/>
              <w:left w:type="dxa" w:w="110"/>
              <w:bottom w:type="dxa" w:w="50"/>
              <w:right w:type="dxa" w:w="110"/>
            </w:tcMar>
          </w:tcPr>
          <w:p>
            <w:pPr>
              <w:spacing w:before="28" w:after="28"/>
            </w:pPr>
            <w:r>
              <w:rPr>
                <w:sz w:val="15"/>
                <w:szCs w:val="15"/>
              </w:rPr>
              <w:t xml:space="preserve"> </w:t>
            </w:r>
          </w:p>
        </w:tc>
        <w:tc>
          <w:tcPr>
            <w:tcW w:type="pct" w:w="488"/>
            <w:tcMar>
              <w:top w:type="dxa" w:w="50"/>
              <w:left w:type="dxa" w:w="110"/>
              <w:bottom w:type="dxa" w:w="50"/>
              <w:right w:type="dxa" w:w="110"/>
            </w:tcMar>
          </w:tcPr>
          <w:p>
            <w:pPr>
              <w:spacing w:before="28" w:after="28"/>
            </w:pPr>
            <w:r>
              <w:rPr>
                <w:sz w:val="15"/>
                <w:szCs w:val="15"/>
              </w:rPr>
              <w:t xml:space="preserve">$12.60</w:t>
            </w:r>
          </w:p>
        </w:tc>
        <w:tc>
          <w:tcPr>
            <w:tcW w:type="pct" w:w="1765"/>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budget (Chapter 8)   ·   Jordan Glass contract   ·   0.050 h   ·   Time study + payroll   ·   0.02 MH   ·   normal loss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a list price,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supplier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Payroll taxes and benefits per hour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Cost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standard cost card   ·   currently attainable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Jordan Glass contract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0.050 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currently attainable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 The total is $12.60 a case, the standard used throughout Book 2.</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fc9c521bc9aa61c26e6c12b7a747aab53fcf003.png" Type="http://schemas.openxmlformats.org/officeDocument/2006/relationships/image"/><Relationship Id="rId102" Target="media/4a364a1982ca3f2568998ba3435abddac2207e03.png" Type="http://schemas.openxmlformats.org/officeDocument/2006/relationships/image"/><Relationship Id="rId103" Target="media/6886cf3da93ab397dac2f4f780275ceac2482469.png" Type="http://schemas.openxmlformats.org/officeDocument/2006/relationships/image"/><Relationship Id="rId104" Target="media/8e50c49ecdf57a31cad9bcedc0746ea02c77256f.png" Type="http://schemas.openxmlformats.org/officeDocument/2006/relationships/image"/><Relationship Id="rId105" Target="media/b47a50d02fb77856be68b5ad3af27365c4298756.png" Type="http://schemas.openxmlformats.org/officeDocument/2006/relationships/image"/><Relationship Id="rId106" Target="media/0bd44e08ba1754fcd2cf321f63dd1574e6705d1f.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18</dc:title>
  <dc:subject>Summary handouts</dc:subject>
  <cp:category>Student Book</cp:category>
</cp:coreProperties>
</file>