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What strategic planning does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strategic planning does   ·   Extended Example 1A: from the Orontes goals to   ·   From mission to long-term goals   ·   Congruence: objectives, tactics, plans and bud</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Strategic planning decides where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wants to be in the long term and how it will get there. </w:t>
      </w:r>
      <w:r>
        <w:rPr>
          <w:sz w:val="19"/>
          <w:szCs w:val="19"/>
        </w:rPr>
        <w:t xml:space="preserve">It chooses the markets, products and ways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will lead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goals.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 strategic plan.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comes first, strategic planning sets the path for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else. </w:t>
      </w:r>
      <w:r>
        <w:rPr>
          <w:sz w:val="19"/>
          <w:szCs w:val="19"/>
        </w:rPr>
        <w:t xml:space="preserve">A company that plans to grow exports will budget for export staff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company that plans to cut costs will budget for new equipment and fewer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competing   ·   tactics   ·   result   ·   certification   ·   long-term   ·   Because   ·   everything   ·   organization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budget is not the strategy</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An exam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that says the budget sets the strategy has the 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strategy comes first; the budget puts the first year of it into money.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backwards   ·   option   ·   tactics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planning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2"/>
        <w:gridCol w:w="48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strategic planning</w:t>
            </w:r>
          </w:p>
        </w:tc>
        <w:tc>
          <w:tcPr>
            <w:tcW w:type="pct" w:w="2525"/>
            <w:tcMar>
              <w:top w:type="dxa" w:w="50"/>
              <w:left w:type="dxa" w:w="110"/>
              <w:bottom w:type="dxa" w:w="50"/>
              <w:right w:type="dxa" w:w="110"/>
            </w:tcMar>
          </w:tcPr>
          <w:p>
            <w:pPr>
              <w:spacing w:before="26" w:after="26"/>
            </w:pPr>
            <w:r>
              <w:rPr>
                <w:color w:val="232733"/>
                <w:sz w:val="16"/>
                <w:szCs w:val="16"/>
              </w:rPr>
              <w:t xml:space="preserve">التخطيط الاستراتيجي</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strategic plan</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الخطة الاستراتيجية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What strategic planning does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strategic planning does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Congruence: objectives, tactics, plans and bud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from the Orontes goals to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certification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competing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backwards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strategic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Strategic planning decides where an organization wants to be in the long term and how it will get there. It chooses the markets, products and ways of competing that will lead to the long-term goals. The result is a strategic plan. Because it comes first, strategic planning sets the path for everything else. A company that plans to grow exports will budget for export staff and certification; a company that plans to cut costs will budget for new equipment and fewer products.</w:t>
      </w:r>
    </w:p>
    <w:p>
      <w:pPr>
        <w:spacing w:before="20" w:after="20"/>
        <w:ind w:left="240" w:hanging="240"/>
      </w:pPr>
      <w:r>
        <w:rPr>
          <w:b/>
          <w:bCs/>
          <w:color w:val="353A7C"/>
          <w:sz w:val="15"/>
          <w:szCs w:val="15"/>
        </w:rPr>
        <w:t xml:space="preserve">Summary 2   </w:t>
      </w:r>
      <w:r>
        <w:rPr>
          <w:color w:val="6B7280"/>
          <w:sz w:val="15"/>
          <w:szCs w:val="15"/>
        </w:rPr>
        <w:t xml:space="preserve">An exam option that says the budget sets the strategy has the order backwards. The strategy comes first; the budget puts the first year of it into money.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time frame of a strategic plan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strategic plan usually looks three to five years ahead,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longer. </w:t>
      </w:r>
      <w:r>
        <w:rPr>
          <w:sz w:val="19"/>
          <w:szCs w:val="19"/>
        </w:rPr>
        <w:t xml:space="preserve">Tactical plans cover one to three years, and operational plans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cover one year or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sometimes   ·   budgets   ·   strategic</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00"/>
        <w:gridCol w:w="3715"/>
        <w:gridCol w:w="2826"/>
        <w:gridCol w:w="135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Time frames of strategic, tactical and operational plans</w:t>
            </w:r>
          </w:p>
        </w:tc>
      </w:tr>
      <w:tr>
        <w:tc>
          <w:tcPr>
            <w:tcW w:type="pct" w:w="886"/>
            <w:shd w:fill="353A7C" w:val="clear"/>
            <w:tcMar>
              <w:top w:type="dxa" w:w="50"/>
              <w:left w:type="dxa" w:w="110"/>
              <w:bottom w:type="dxa" w:w="50"/>
              <w:right w:type="dxa" w:w="110"/>
            </w:tcMar>
          </w:tcPr>
          <w:p>
            <w:pPr>
              <w:spacing w:before="30" w:after="30"/>
            </w:pPr>
            <w:r>
              <w:rPr>
                <w:b/>
                <w:bCs/>
                <w:color w:val="FFFFFF"/>
                <w:sz w:val="15"/>
                <w:szCs w:val="15"/>
              </w:rPr>
              <w:t xml:space="preserve">Plan</w:t>
            </w:r>
          </w:p>
        </w:tc>
        <w:tc>
          <w:tcPr>
            <w:tcW w:type="pct" w:w="1935"/>
            <w:shd w:fill="353A7C" w:val="clear"/>
            <w:tcMar>
              <w:top w:type="dxa" w:w="50"/>
              <w:left w:type="dxa" w:w="110"/>
              <w:bottom w:type="dxa" w:w="50"/>
              <w:right w:type="dxa" w:w="110"/>
            </w:tcMar>
          </w:tcPr>
          <w:p>
            <w:pPr>
              <w:spacing w:before="30" w:after="30"/>
            </w:pPr>
            <w:r>
              <w:rPr>
                <w:b/>
                <w:bCs/>
                <w:color w:val="FFFFFF"/>
                <w:sz w:val="15"/>
                <w:szCs w:val="15"/>
              </w:rPr>
              <w:t xml:space="preserve">Typical time frame</w:t>
            </w:r>
          </w:p>
        </w:tc>
        <w:tc>
          <w:tcPr>
            <w:tcW w:type="pct" w:w="1472"/>
            <w:shd w:fill="353A7C" w:val="clear"/>
            <w:tcMar>
              <w:top w:type="dxa" w:w="50"/>
              <w:left w:type="dxa" w:w="110"/>
              <w:bottom w:type="dxa" w:w="50"/>
              <w:right w:type="dxa" w:w="110"/>
            </w:tcMar>
          </w:tcPr>
          <w:p>
            <w:pPr>
              <w:spacing w:before="30" w:after="30"/>
            </w:pPr>
            <w:r>
              <w:rPr>
                <w:b/>
                <w:bCs/>
                <w:color w:val="FFFFFF"/>
                <w:sz w:val="15"/>
                <w:szCs w:val="15"/>
              </w:rPr>
              <w:t xml:space="preserve">Content</w:t>
            </w:r>
          </w:p>
        </w:tc>
        <w:tc>
          <w:tcPr>
            <w:tcW w:type="pct" w:w="708"/>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886"/>
            <w:tcMar>
              <w:top w:type="dxa" w:w="50"/>
              <w:left w:type="dxa" w:w="110"/>
              <w:bottom w:type="dxa" w:w="50"/>
              <w:right w:type="dxa" w:w="110"/>
            </w:tcMar>
          </w:tcPr>
          <w:p>
            <w:pPr>
              <w:spacing w:before="28" w:after="28"/>
            </w:pPr>
            <w:r>
              <w:rPr>
                <w:sz w:val="15"/>
                <w:szCs w:val="15"/>
              </w:rPr>
              <w:t xml:space="preserve">Strategic plan</w:t>
            </w:r>
          </w:p>
        </w:tc>
        <w:tc>
          <w:tcPr>
            <w:tcW w:type="pct" w:w="1935"/>
            <w:tcMar>
              <w:top w:type="dxa" w:w="50"/>
              <w:left w:type="dxa" w:w="110"/>
              <w:bottom w:type="dxa" w:w="50"/>
              <w:right w:type="dxa" w:w="110"/>
            </w:tcMar>
          </w:tcPr>
          <w:p>
            <w:pPr>
              <w:spacing w:before="28" w:after="28"/>
            </w:pPr>
            <w:r>
              <w:rPr>
                <w:sz w:val="15"/>
                <w:szCs w:val="15"/>
              </w:rPr>
              <w:t xml:space="preserve">3–5 years or more</w:t>
            </w:r>
          </w:p>
        </w:tc>
        <w:tc>
          <w:tcPr>
            <w:tcW w:type="pct" w:w="1472"/>
            <w:tcMar>
              <w:top w:type="dxa" w:w="50"/>
              <w:left w:type="dxa" w:w="110"/>
              <w:bottom w:type="dxa" w:w="50"/>
              <w:right w:type="dxa" w:w="110"/>
            </w:tcMar>
          </w:tcPr>
          <w:p>
            <w:pPr>
              <w:spacing w:before="28" w:after="28"/>
            </w:pPr>
            <w:r>
              <w:rPr>
                <w:sz w:val="15"/>
                <w:szCs w:val="15"/>
              </w:rPr>
              <w:t xml:space="preserve">Mission, vision, long-term goals, main strategies</w:t>
            </w:r>
          </w:p>
        </w:tc>
        <w:tc>
          <w:tcPr>
            <w:tcW w:type="pct" w:w="708"/>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886"/>
            <w:shd w:fill="FBFAF6" w:val="clear"/>
            <w:tcMar>
              <w:top w:type="dxa" w:w="50"/>
              <w:left w:type="dxa" w:w="110"/>
              <w:bottom w:type="dxa" w:w="50"/>
              <w:right w:type="dxa" w:w="110"/>
            </w:tcMar>
          </w:tcPr>
          <w:p>
            <w:pPr>
              <w:spacing w:before="28" w:after="28"/>
            </w:pPr>
            <w:r>
              <w:rPr>
                <w:sz w:val="15"/>
                <w:szCs w:val="15"/>
              </w:rPr>
              <w:t xml:space="preserve">Tactical plan</w:t>
            </w:r>
          </w:p>
        </w:tc>
        <w:tc>
          <w:tcPr>
            <w:tcW w:type="pct" w:w="1935"/>
            <w:shd w:fill="FBFAF6" w:val="clear"/>
            <w:tcMar>
              <w:top w:type="dxa" w:w="50"/>
              <w:left w:type="dxa" w:w="110"/>
              <w:bottom w:type="dxa" w:w="50"/>
              <w:right w:type="dxa" w:w="110"/>
            </w:tcMar>
          </w:tcPr>
          <w:p>
            <w:pPr>
              <w:spacing w:before="28" w:after="28"/>
            </w:pPr>
            <w:r>
              <w:rPr>
                <w:sz w:val="15"/>
                <w:szCs w:val="15"/>
              </w:rPr>
              <w:t xml:space="preserve">1–3 years</w:t>
            </w:r>
          </w:p>
        </w:tc>
        <w:tc>
          <w:tcPr>
            <w:tcW w:type="pct" w:w="147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08"/>
            <w:shd w:fill="FBFAF6" w:val="clear"/>
            <w:tcMar>
              <w:top w:type="dxa" w:w="50"/>
              <w:left w:type="dxa" w:w="110"/>
              <w:bottom w:type="dxa" w:w="50"/>
              <w:right w:type="dxa" w:w="110"/>
            </w:tcMar>
          </w:tcPr>
          <w:p>
            <w:pPr>
              <w:spacing w:before="28" w:after="28"/>
            </w:pPr>
            <w:r>
              <w:rPr>
                <w:sz w:val="15"/>
                <w:szCs w:val="15"/>
              </w:rPr>
              <w:t xml:space="preserve">Beverages export launch</w:t>
            </w:r>
          </w:p>
        </w:tc>
      </w:tr>
      <w:tr>
        <w:tc>
          <w:tcPr>
            <w:tcW w:type="pct" w:w="886"/>
            <w:tcMar>
              <w:top w:type="dxa" w:w="50"/>
              <w:left w:type="dxa" w:w="110"/>
              <w:bottom w:type="dxa" w:w="50"/>
              <w:right w:type="dxa" w:w="110"/>
            </w:tcMar>
          </w:tcPr>
          <w:p>
            <w:pPr>
              <w:spacing w:before="28" w:after="28"/>
            </w:pPr>
            <w:r>
              <w:rPr>
                <w:sz w:val="15"/>
                <w:szCs w:val="15"/>
              </w:rPr>
              <w:t xml:space="preserve">Operational plan and budget</w:t>
            </w:r>
          </w:p>
        </w:tc>
        <w:tc>
          <w:tcPr>
            <w:tcW w:type="pct" w:w="1935"/>
            <w:tcMar>
              <w:top w:type="dxa" w:w="50"/>
              <w:left w:type="dxa" w:w="110"/>
              <w:bottom w:type="dxa" w:w="50"/>
              <w:right w:type="dxa" w:w="110"/>
            </w:tcMar>
          </w:tcPr>
          <w:p>
            <w:pPr>
              <w:spacing w:before="28" w:after="28"/>
            </w:pPr>
            <w:r>
              <w:rPr>
                <w:sz w:val="15"/>
                <w:szCs w:val="15"/>
              </w:rPr>
              <w:t xml:space="preserve">1 year or less</w:t>
            </w:r>
          </w:p>
        </w:tc>
        <w:tc>
          <w:tcPr>
            <w:tcW w:type="pct" w:w="1472"/>
            <w:tcMar>
              <w:top w:type="dxa" w:w="50"/>
              <w:left w:type="dxa" w:w="110"/>
              <w:bottom w:type="dxa" w:w="50"/>
              <w:right w:type="dxa" w:w="110"/>
            </w:tcMar>
          </w:tcPr>
          <w:p>
            <w:pPr>
              <w:spacing w:before="28" w:after="28"/>
            </w:pPr>
            <w:r>
              <w:rPr>
                <w:sz w:val="15"/>
                <w:szCs w:val="15"/>
              </w:rPr>
              <w:t xml:space="preserve">Activities, people, resources, money</w:t>
            </w:r>
          </w:p>
        </w:tc>
        <w:tc>
          <w:tcPr>
            <w:tcW w:type="pct" w:w="70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86"/>
            <w:shd w:fill="FBFAF6" w:val="clear"/>
            <w:tcMar>
              <w:top w:type="dxa" w:w="50"/>
              <w:left w:type="dxa" w:w="110"/>
              <w:bottom w:type="dxa" w:w="50"/>
              <w:right w:type="dxa" w:w="110"/>
            </w:tcMar>
          </w:tcPr>
          <w:p>
            <w:pPr>
              <w:spacing w:before="28" w:after="28"/>
            </w:pPr>
            <w:r>
              <w:rPr>
                <w:sz w:val="15"/>
                <w:szCs w:val="15"/>
              </w:rPr>
              <w:t xml:space="preserve">Industry pace</w:t>
            </w:r>
          </w:p>
        </w:tc>
        <w:tc>
          <w:tcPr>
            <w:tcW w:type="pct" w:w="1935"/>
            <w:shd w:fill="FBFAF6" w:val="clear"/>
            <w:tcMar>
              <w:top w:type="dxa" w:w="50"/>
              <w:left w:type="dxa" w:w="110"/>
              <w:bottom w:type="dxa" w:w="50"/>
              <w:right w:type="dxa" w:w="110"/>
            </w:tcMar>
          </w:tcPr>
          <w:p>
            <w:pPr>
              <w:spacing w:before="28" w:after="28"/>
            </w:pPr>
            <w:r>
              <w:rPr>
                <w:sz w:val="15"/>
                <w:szCs w:val="15"/>
              </w:rPr>
              <w:t xml:space="preserve">Shorter for fast-changing industries; longer for heavy investment</w:t>
            </w:r>
          </w:p>
        </w:tc>
        <w:tc>
          <w:tcPr>
            <w:tcW w:type="pct" w:w="1472"/>
            <w:shd w:fill="FBFAF6" w:val="clear"/>
            <w:tcMar>
              <w:top w:type="dxa" w:w="50"/>
              <w:left w:type="dxa" w:w="110"/>
              <w:bottom w:type="dxa" w:w="50"/>
              <w:right w:type="dxa" w:w="110"/>
            </w:tcMar>
          </w:tcPr>
          <w:p>
            <w:pPr>
              <w:spacing w:before="28" w:after="28"/>
            </w:pPr>
            <w:r>
              <w:rPr>
                <w:sz w:val="15"/>
                <w:szCs w:val="15"/>
              </w:rPr>
              <w:t xml:space="preserve"> </w:t>
            </w:r>
          </w:p>
        </w:tc>
        <w:tc>
          <w:tcPr>
            <w:tcW w:type="pct" w:w="708"/>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5 years is common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2028 budget   ·   Orontes: 2028–2032   ·   Food production   ·   long-term goals   ·   How each division carries out the strategy</w:t>
            </w:r>
          </w:p>
        </w:tc>
      </w:tr>
    </w:tbl>
    <w:p/>
    <w:p>
      <w:pPr>
        <w:spacing w:before="44" w:after="14"/>
      </w:pPr>
      <w:r>
        <w:rPr>
          <w:b/>
          <w:bCs/>
          <w:color w:val="353A7C"/>
          <w:sz w:val="18"/>
          <w:szCs w:val="18"/>
        </w:rPr>
        <w:t xml:space="preserve">Summary 2</w:t>
      </w:r>
      <w:r>
        <w:rPr>
          <w:color w:val="6B7280"/>
          <w:sz w:val="16"/>
          <w:szCs w:val="16"/>
        </w:rPr>
        <w:t xml:space="preserve">      gaps 7–11</w:t>
      </w:r>
    </w:p>
    <w:p>
      <w:pPr>
        <w:spacing w:before="20" w:after="20" w:line="360" w:lineRule="auto"/>
        <w:ind w:left="200"/>
      </w:pPr>
      <w:r>
        <w:rPr>
          <w:sz w:val="19"/>
          <w:szCs w:val="19"/>
        </w:rPr>
        <w:t xml:space="preserve">The right time frame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 the industry.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company may plan only two or three years ahead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its market changes fast. </w:t>
      </w:r>
      <w:r>
        <w:rPr>
          <w:sz w:val="19"/>
          <w:szCs w:val="19"/>
        </w:rPr>
        <w:t xml:space="preserve">A food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builds plants and brands can plan five years or more. </w:t>
      </w:r>
      <w:r>
        <w:rPr>
          <w:sz w:val="19"/>
          <w:szCs w:val="19"/>
        </w:rPr>
        <w:t xml:space="preserve">Orontes uses a plan for 2028 to 2032. </w:t>
      </w:r>
      <w:r>
        <w:rPr>
          <w:sz w:val="19"/>
          <w:szCs w:val="19"/>
        </w:rPr>
        <w:t xml:space="preserve">Each year the plan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rolled forward one year, so there is always a full view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reviewed   ·   budgets   ·   depends   ·   because   ·   producer   ·   software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operational plan   ·   long-term goals   ·   strategic plan</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time frame of a strategic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sometimes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 2028–2032</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How each division carries out the strategy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2028 budget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strategic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Food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operational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depends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strategic plan usually looks three to five years ahead, and sometimes longer. Tactical plans cover one to three years, and operational plans and budgets cover one year or less.</w:t>
      </w:r>
    </w:p>
    <w:p>
      <w:pPr>
        <w:spacing w:before="20" w:after="20"/>
        <w:ind w:left="240" w:hanging="240"/>
      </w:pPr>
      <w:r>
        <w:rPr>
          <w:b/>
          <w:bCs/>
          <w:color w:val="353A7C"/>
          <w:sz w:val="15"/>
          <w:szCs w:val="15"/>
        </w:rPr>
        <w:t xml:space="preserve">Summary 2   </w:t>
      </w:r>
      <w:r>
        <w:rPr>
          <w:color w:val="6B7280"/>
          <w:sz w:val="15"/>
          <w:szCs w:val="15"/>
        </w:rPr>
        <w:t xml:space="preserve">The right time frame depends on the industry. A software company may plan only two or three years ahead because its market changes fast. A food producer that builds plants and brands can plan five years or more. Orontes uses a plan for 2028 to 2032. Each year the plan is reviewed and rolled forward one year, so there is always a full view ahead.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From mission to long-term goals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mission statement says why the organization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what it does and for whom. </w:t>
      </w:r>
      <w:r>
        <w:rPr>
          <w:sz w:val="19"/>
          <w:szCs w:val="19"/>
        </w:rPr>
        <w:t xml:space="preserve">The vision statement says what it wants to become. </w:t>
      </w:r>
      <w:r>
        <w:rPr>
          <w:sz w:val="19"/>
          <w:szCs w:val="19"/>
        </w:rPr>
        <w:t xml:space="preserve">The mission leads to long-term goals: results the company aims to reach by the end of the plan. </w:t>
      </w:r>
      <w:r>
        <w:rPr>
          <w:sz w:val="19"/>
          <w:szCs w:val="19"/>
        </w:rPr>
        <w:t xml:space="preserve">Good goals turn the mission into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dates, so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can be measured.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results   ·   progress   ·   exists   ·   numbers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long-term goals</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mission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trusted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foods across the region. </w:t>
      </w:r>
      <w:r>
        <w:rPr>
          <w:sz w:val="19"/>
          <w:szCs w:val="19"/>
        </w:rPr>
        <w:t xml:space="preserve">The board turns it into five goals for 2032. </w:t>
      </w:r>
      <w:r>
        <w:rPr>
          <w:sz w:val="19"/>
          <w:szCs w:val="19"/>
        </w:rPr>
        <w:t xml:space="preserve">For example, exports rise from 18.0% to 30.0% of revenue.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speaks   ·   lasting   ·   Levant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Orontes long-term goals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Long-term goal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2032 (goal)</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1400"/>
            <w:tcMar>
              <w:top w:type="dxa" w:w="50"/>
              <w:left w:type="dxa" w:w="110"/>
              <w:bottom w:type="dxa" w:w="50"/>
              <w:right w:type="dxa" w:w="110"/>
            </w:tcMar>
          </w:tcPr>
          <w:p>
            <w:pPr>
              <w:spacing w:before="28" w:after="28"/>
            </w:pPr>
            <w:r>
              <w:rPr>
                <w:sz w:val="15"/>
                <w:szCs w:val="15"/>
              </w:rPr>
              <w:t xml:space="preserve">18.0%</w:t>
            </w:r>
          </w:p>
        </w:tc>
        <w:tc>
          <w:tcPr>
            <w:tcW w:type="pct" w:w="1400"/>
            <w:tcMar>
              <w:top w:type="dxa" w:w="50"/>
              <w:left w:type="dxa" w:w="110"/>
              <w:bottom w:type="dxa" w:w="50"/>
              <w:right w:type="dxa" w:w="110"/>
            </w:tcMar>
          </w:tcPr>
          <w:p>
            <w:pPr>
              <w:spacing w:before="28" w:after="28"/>
            </w:pPr>
            <w:r>
              <w:rPr>
                <w:sz w:val="15"/>
                <w:szCs w:val="15"/>
              </w:rPr>
              <w:t xml:space="preserve">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1400"/>
            <w:shd w:fill="FBFAF6" w:val="clear"/>
            <w:tcMar>
              <w:top w:type="dxa" w:w="50"/>
              <w:left w:type="dxa" w:w="110"/>
              <w:bottom w:type="dxa" w:w="50"/>
              <w:right w:type="dxa" w:w="110"/>
            </w:tcMar>
          </w:tcPr>
          <w:p>
            <w:pPr>
              <w:spacing w:before="28" w:after="28"/>
            </w:pPr>
            <w:r>
              <w:rPr>
                <w:sz w:val="15"/>
                <w:szCs w:val="15"/>
              </w:rPr>
              <w:t xml:space="preserve">6.0%</w:t>
            </w:r>
          </w:p>
        </w:tc>
        <w:tc>
          <w:tcPr>
            <w:tcW w:type="pct" w:w="1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400"/>
            <w:tcMar>
              <w:top w:type="dxa" w:w="50"/>
              <w:left w:type="dxa" w:w="110"/>
              <w:bottom w:type="dxa" w:w="50"/>
              <w:right w:type="dxa" w:w="110"/>
            </w:tcMar>
          </w:tcPr>
          <w:p>
            <w:pPr>
              <w:spacing w:before="28" w:after="28"/>
            </w:pPr>
            <w:r>
              <w:rPr>
                <w:sz w:val="15"/>
                <w:szCs w:val="15"/>
              </w:rPr>
              <w:t xml:space="preserve">11.0%</w:t>
            </w:r>
          </w:p>
        </w:tc>
        <w:tc>
          <w:tcPr>
            <w:tcW w:type="pct" w:w="1400"/>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400"/>
            <w:shd w:fill="FBFAF6" w:val="clear"/>
            <w:tcMar>
              <w:top w:type="dxa" w:w="50"/>
              <w:left w:type="dxa" w:w="110"/>
              <w:bottom w:type="dxa" w:w="50"/>
              <w:right w:type="dxa" w:w="110"/>
            </w:tcMar>
          </w:tcPr>
          <w:p>
            <w:pPr>
              <w:spacing w:before="28" w:after="28"/>
            </w:pPr>
            <w:r>
              <w:rPr>
                <w:sz w:val="15"/>
                <w:szCs w:val="15"/>
              </w:rPr>
              <w:t xml:space="preserve">0.50 kWh</w:t>
            </w:r>
          </w:p>
        </w:tc>
        <w:tc>
          <w:tcPr>
            <w:tcW w:type="pct" w:w="1400"/>
            <w:shd w:fill="FBFAF6" w:val="clear"/>
            <w:tcMar>
              <w:top w:type="dxa" w:w="50"/>
              <w:left w:type="dxa" w:w="110"/>
              <w:bottom w:type="dxa" w:w="50"/>
              <w:right w:type="dxa" w:w="110"/>
            </w:tcMar>
          </w:tcPr>
          <w:p>
            <w:pPr>
              <w:spacing w:before="28" w:after="28"/>
            </w:pPr>
            <w:r>
              <w:rPr>
                <w:sz w:val="15"/>
                <w:szCs w:val="15"/>
              </w:rPr>
              <w:t xml:space="preserve">0.40 kWh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00"/>
            <w:tcMar>
              <w:top w:type="dxa" w:w="50"/>
              <w:left w:type="dxa" w:w="110"/>
              <w:bottom w:type="dxa" w:w="50"/>
              <w:right w:type="dxa" w:w="110"/>
            </w:tcMar>
          </w:tcPr>
          <w:p>
            <w:pPr>
              <w:spacing w:before="28" w:after="28"/>
            </w:pPr>
            <w:r>
              <w:rPr>
                <w:sz w:val="15"/>
                <w:szCs w:val="15"/>
              </w:rPr>
              <w:t xml:space="preserve">12 h</w:t>
            </w:r>
          </w:p>
        </w:tc>
        <w:tc>
          <w:tcPr>
            <w:tcW w:type="pct" w:w="1400"/>
            <w:tcMar>
              <w:top w:type="dxa" w:w="50"/>
              <w:left w:type="dxa" w:w="110"/>
              <w:bottom w:type="dxa" w:w="50"/>
              <w:right w:type="dxa" w:w="110"/>
            </w:tcMar>
          </w:tcPr>
          <w:p>
            <w:pPr>
              <w:spacing w:before="28" w:after="28"/>
            </w:pPr>
            <w:r>
              <w:rPr>
                <w:sz w:val="15"/>
                <w:szCs w:val="15"/>
              </w:rPr>
              <w:t xml:space="preserve">24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Training hours per employee a year   ·   What do we want to become?   ·   Energy per case of juice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Mission, mission</w:t>
            </w:r>
          </w:p>
        </w:tc>
      </w:tr>
    </w:tbl>
    <w:p/>
    <w:p>
      <w:pPr>
        <w:spacing w:before="20" w:after="20" w:line="360" w:lineRule="auto"/>
        <w:ind w:left="200"/>
      </w:pPr>
      <w:r>
        <w:rPr>
          <w:sz w:val="19"/>
          <w:szCs w:val="19"/>
        </w:rPr>
        <w:t xml:space="preserve">In strategic planning it means the organization's lasting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5"/>
        <w:gridCol w:w="326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Mission, vision and goals at Orontes Foods</w:t>
            </w:r>
          </w:p>
        </w:tc>
      </w:tr>
      <w:tr>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99"/>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w:t>
            </w:r>
          </w:p>
        </w:tc>
      </w:tr>
      <w:tr>
        <w:tc>
          <w:tcPr>
            <w:tcW w:type="pct" w:w="1101"/>
            <w:tcMar>
              <w:top w:type="dxa" w:w="50"/>
              <w:left w:type="dxa" w:w="110"/>
              <w:bottom w:type="dxa" w:w="50"/>
              <w:right w:type="dxa" w:w="110"/>
            </w:tcMar>
          </w:tcPr>
          <w:p>
            <w:pPr>
              <w:spacing w:before="28" w:after="28"/>
            </w:pPr>
            <w:r>
              <w:rPr>
                <w:sz w:val="15"/>
                <w:szCs w:val="15"/>
              </w:rPr>
              <w:t xml:space="preserve">Mission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To make trusted, traditional Levant foods and drinks for families and businesses across the region.</w:t>
            </w:r>
          </w:p>
        </w:tc>
      </w:tr>
      <w:tr>
        <w:tc>
          <w:tcPr>
            <w:tcW w:type="pct" w:w="1101"/>
            <w:shd w:fill="FBFAF6" w:val="clear"/>
            <w:tcMar>
              <w:top w:type="dxa" w:w="50"/>
              <w:left w:type="dxa" w:w="110"/>
              <w:bottom w:type="dxa" w:w="50"/>
              <w:right w:type="dxa" w:w="110"/>
            </w:tcMar>
          </w:tcPr>
          <w:p>
            <w:pPr>
              <w:spacing w:before="28" w:after="28"/>
            </w:pPr>
            <w:r>
              <w:rPr>
                <w:sz w:val="15"/>
                <w:szCs w:val="15"/>
              </w:rPr>
              <w:t xml:space="preserve">Vision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To be the first-choice Levant food brand in the Gulf and Europe by 2032.</w:t>
            </w:r>
          </w:p>
        </w:tc>
      </w:tr>
      <w:tr>
        <w:tc>
          <w:tcPr>
            <w:tcW w:type="pct" w:w="1101"/>
            <w:tcMar>
              <w:top w:type="dxa" w:w="50"/>
              <w:left w:type="dxa" w:w="110"/>
              <w:bottom w:type="dxa" w:w="50"/>
              <w:right w:type="dxa" w:w="110"/>
            </w:tcMar>
          </w:tcPr>
          <w:p>
            <w:pPr>
              <w:spacing w:before="28" w:after="28"/>
            </w:pPr>
            <w:r>
              <w:rPr>
                <w:sz w:val="15"/>
                <w:szCs w:val="15"/>
              </w:rPr>
              <w:t xml:space="preserve">Long-term goals</w:t>
            </w:r>
          </w:p>
        </w:tc>
        <w:tc>
          <w:tcPr>
            <w:tcW w:type="pct" w:w="1699"/>
            <w:tcMar>
              <w:top w:type="dxa" w:w="50"/>
              <w:left w:type="dxa" w:w="110"/>
              <w:bottom w:type="dxa" w:w="50"/>
              <w:right w:type="dxa" w:w="110"/>
            </w:tcMar>
          </w:tcPr>
          <w:p>
            <w:pPr>
              <w:spacing w:before="28" w:after="28"/>
            </w:pPr>
            <w:r>
              <w:rPr>
                <w:sz w:val="15"/>
                <w:szCs w:val="15"/>
              </w:rPr>
              <w:t xml:space="preserve">What results, by when?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Why do we exist? What do we do, and for whom?   ·   Energy per case of juice (kWh)   ·   For example: exports 30.0% of revenue by 2032.   ·   What do we want to become?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vision statement   ·   long-term goals   ·   mission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7"/>
        <w:gridCol w:w="47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mission statement</w:t>
            </w:r>
          </w:p>
        </w:tc>
        <w:tc>
          <w:tcPr>
            <w:tcW w:type="pct" w:w="2476"/>
            <w:tcMar>
              <w:top w:type="dxa" w:w="50"/>
              <w:left w:type="dxa" w:w="110"/>
              <w:bottom w:type="dxa" w:w="50"/>
              <w:right w:type="dxa" w:w="110"/>
            </w:tcMar>
          </w:tcPr>
          <w:p>
            <w:pPr>
              <w:spacing w:before="26" w:after="26"/>
            </w:pPr>
            <w:r>
              <w:rPr>
                <w:color w:val="232733"/>
                <w:sz w:val="16"/>
                <w:szCs w:val="16"/>
              </w:rPr>
              <w:t xml:space="preserve">بيان الرسالة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vision statement</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بيان الرؤية</w:t>
            </w:r>
          </w:p>
        </w:tc>
      </w:tr>
      <w:tr>
        <w:tc>
          <w:tcPr>
            <w:tcW w:type="pct" w:w="2524"/>
            <w:tcMar>
              <w:top w:type="dxa" w:w="50"/>
              <w:left w:type="dxa" w:w="110"/>
              <w:bottom w:type="dxa" w:w="50"/>
              <w:right w:type="dxa" w:w="110"/>
            </w:tcMar>
          </w:tcPr>
          <w:p>
            <w:pPr>
              <w:spacing w:before="26" w:after="26"/>
            </w:pPr>
            <w:r>
              <w:rPr>
                <w:color w:val="232733"/>
                <w:sz w:val="16"/>
                <w:szCs w:val="16"/>
              </w:rPr>
              <w:t xml:space="preserve">long-term goals</w:t>
            </w:r>
          </w:p>
        </w:tc>
        <w:tc>
          <w:tcPr>
            <w:tcW w:type="pct" w:w="2476"/>
            <w:tcMar>
              <w:top w:type="dxa" w:w="50"/>
              <w:left w:type="dxa" w:w="110"/>
              <w:bottom w:type="dxa" w:w="50"/>
              <w:right w:type="dxa" w:w="110"/>
            </w:tcMar>
          </w:tcPr>
          <w:p>
            <w:pPr>
              <w:spacing w:before="26" w:after="26"/>
            </w:pPr>
            <w:r>
              <w:rPr>
                <w:color w:val="232733"/>
                <w:sz w:val="16"/>
                <w:szCs w:val="16"/>
              </w:rPr>
              <w:t xml:space="preserve">الأهداف طويلة الأجل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From mission to long-term goals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Training hours per employee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numbers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Why do we exist? What do we do, and for whom?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What do we want to become?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speaks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For example: exports 30.0% of revenue by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Levant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mission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Return on 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vision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Energy per case of juice (kWh)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mission statement says why the organization exists, what it does and for whom. The vision statement says what it wants to become. The mission leads to long-term goals: results the company aims to reach by the end of the plan. Good goals turn the mission into numbers and dates, so that progress can be measured.</w:t>
      </w:r>
    </w:p>
    <w:p>
      <w:pPr>
        <w:spacing w:before="20" w:after="20"/>
        <w:ind w:left="240" w:hanging="240"/>
      </w:pPr>
      <w:r>
        <w:rPr>
          <w:b/>
          <w:bCs/>
          <w:color w:val="353A7C"/>
          <w:sz w:val="15"/>
          <w:szCs w:val="15"/>
        </w:rPr>
        <w:t xml:space="preserve">Summary 2   </w:t>
      </w:r>
      <w:r>
        <w:rPr>
          <w:color w:val="6B7280"/>
          <w:sz w:val="15"/>
          <w:szCs w:val="15"/>
        </w:rPr>
        <w:t xml:space="preserve">The mission speaks of trusted Levant foods across the region. The board turns it into five goals for 2032. For example, exports rise from 18.0% to 30.0% of revenue.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Congruence: objectives, tactics, plans and budgets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Short-term objectives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results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that move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its goals.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the specific actions used to reach them,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sets out the people, activities and resources. </w:t>
      </w:r>
      <w:r>
        <w:rPr>
          <w:sz w:val="19"/>
          <w:szCs w:val="19"/>
        </w:rPr>
        <w:t xml:space="preserve">The budget puts all of this into money. </w:t>
      </w:r>
      <w:r>
        <w:rPr>
          <w:sz w:val="19"/>
          <w:szCs w:val="19"/>
        </w:rPr>
        <w:t xml:space="preserve">Each level must fit the level above it. </w:t>
      </w:r>
      <w:r>
        <w:rPr>
          <w:sz w:val="19"/>
          <w:szCs w:val="19"/>
        </w:rPr>
        <w:t xml:space="preserve">This fit is called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If the budget cuts export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while the plan calls for export growth, the company will miss its goal even if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meets the budget.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way to set objectives is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change needed over the plan into equal yearly steps.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rise by 12.0 points over 5 years, or 2.40 points a year, so the 2028 objective is 20.4%.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operational   ·   toward   ·   simple   ·   Tactics   ·   divide   ·   Exports   ·   marketing   ·   objective   ·   measurable   ·   manager   ·   coming   ·   congruence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2028 objectives</w:t>
            </w:r>
          </w:p>
        </w:tc>
      </w:tr>
    </w:tbl>
    <w:p/>
    <w:p>
      <w:pPr>
        <w:spacing w:before="20" w:after="20" w:line="360" w:lineRule="auto"/>
        <w:ind w:left="200"/>
      </w:pPr>
      <w:r>
        <w:rPr>
          <w:sz w:val="19"/>
          <w:szCs w:val="19"/>
        </w:rPr>
        <w:t xml:space="preserve">Complete the two blank objectives.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361"/>
        <w:gridCol w:w="2654"/>
        <w:gridCol w:w="136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the 2028 objectives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709"/>
            <w:shd w:fill="353A7C" w:val="clear"/>
            <w:tcMar>
              <w:top w:type="dxa" w:w="50"/>
              <w:left w:type="dxa" w:w="110"/>
              <w:bottom w:type="dxa" w:w="50"/>
              <w:right w:type="dxa" w:w="110"/>
            </w:tcMar>
          </w:tcPr>
          <w:p>
            <w:pPr>
              <w:spacing w:before="30" w:after="30"/>
            </w:pPr>
            <w:r>
              <w:rPr>
                <w:b/>
                <w:bCs/>
                <w:color w:val="FFFFFF"/>
                <w:sz w:val="15"/>
                <w:szCs w:val="15"/>
              </w:rPr>
              <w:t xml:space="preserve">2027</w:t>
            </w:r>
          </w:p>
        </w:tc>
        <w:tc>
          <w:tcPr>
            <w:tcW w:type="pct" w:w="1382"/>
            <w:shd w:fill="353A7C" w:val="clear"/>
            <w:tcMar>
              <w:top w:type="dxa" w:w="50"/>
              <w:left w:type="dxa" w:w="110"/>
              <w:bottom w:type="dxa" w:w="50"/>
              <w:right w:type="dxa" w:w="110"/>
            </w:tcMar>
          </w:tcPr>
          <w:p>
            <w:pPr>
              <w:spacing w:before="30" w:after="30"/>
            </w:pPr>
            <w:r>
              <w:rPr>
                <w:b/>
                <w:bCs/>
                <w:color w:val="FFFFFF"/>
                <w:sz w:val="15"/>
                <w:szCs w:val="15"/>
              </w:rPr>
              <w:t xml:space="preserve">Change a year</w:t>
            </w:r>
          </w:p>
        </w:tc>
        <w:tc>
          <w:tcPr>
            <w:tcW w:type="pct" w:w="709"/>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709"/>
            <w:tcMar>
              <w:top w:type="dxa" w:w="50"/>
              <w:left w:type="dxa" w:w="110"/>
              <w:bottom w:type="dxa" w:w="50"/>
              <w:right w:type="dxa" w:w="110"/>
            </w:tcMar>
          </w:tcPr>
          <w:p>
            <w:pPr>
              <w:spacing w:before="28" w:after="28"/>
            </w:pPr>
            <w:r>
              <w:rPr>
                <w:sz w:val="15"/>
                <w:szCs w:val="15"/>
              </w:rPr>
              <w:t xml:space="preserve">18.0%</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709"/>
            <w:tcMar>
              <w:top w:type="dxa" w:w="50"/>
              <w:left w:type="dxa" w:w="110"/>
              <w:bottom w:type="dxa" w:w="50"/>
              <w:right w:type="dxa" w:w="110"/>
            </w:tcMar>
          </w:tcPr>
          <w:p>
            <w:pPr>
              <w:spacing w:before="28" w:after="28"/>
            </w:pPr>
            <w:r>
              <w:rPr>
                <w:sz w:val="15"/>
                <w:szCs w:val="15"/>
              </w:rPr>
              <w:t xml:space="preserve">20.4%</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709"/>
            <w:shd w:fill="FBFAF6" w:val="clear"/>
            <w:tcMar>
              <w:top w:type="dxa" w:w="50"/>
              <w:left w:type="dxa" w:w="110"/>
              <w:bottom w:type="dxa" w:w="50"/>
              <w:right w:type="dxa" w:w="110"/>
            </w:tcMar>
          </w:tcPr>
          <w:p>
            <w:pPr>
              <w:spacing w:before="28" w:after="28"/>
            </w:pPr>
            <w:r>
              <w:rPr>
                <w:sz w:val="15"/>
                <w:szCs w:val="15"/>
              </w:rPr>
              <w:t xml:space="preserve">6.0%</w:t>
            </w:r>
          </w:p>
        </w:tc>
        <w:tc>
          <w:tcPr>
            <w:tcW w:type="pct" w:w="1382"/>
            <w:shd w:fill="FBFAF6" w:val="clear"/>
            <w:tcMar>
              <w:top w:type="dxa" w:w="50"/>
              <w:left w:type="dxa" w:w="110"/>
              <w:bottom w:type="dxa" w:w="50"/>
              <w:right w:type="dxa" w:w="110"/>
            </w:tcMar>
          </w:tcPr>
          <w:p>
            <w:pPr>
              <w:spacing w:before="28" w:after="28"/>
            </w:pPr>
            <w:r>
              <w:rPr>
                <w:sz w:val="15"/>
                <w:szCs w:val="15"/>
              </w:rPr>
              <w:t xml:space="preserve">+1.80 points</w:t>
            </w:r>
          </w:p>
        </w:tc>
        <w:tc>
          <w:tcPr>
            <w:tcW w:type="pct" w:w="709"/>
            <w:shd w:fill="FBFAF6" w:val="clear"/>
            <w:tcMar>
              <w:top w:type="dxa" w:w="50"/>
              <w:left w:type="dxa" w:w="110"/>
              <w:bottom w:type="dxa" w:w="50"/>
              <w:right w:type="dxa" w:w="110"/>
            </w:tcMar>
          </w:tcPr>
          <w:p>
            <w:pPr>
              <w:spacing w:before="28" w:after="28"/>
            </w:pPr>
            <w:r>
              <w:rPr>
                <w:sz w:val="15"/>
                <w:szCs w:val="15"/>
              </w:rPr>
              <w:t xml:space="preserve">7.8%</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709"/>
            <w:tcMar>
              <w:top w:type="dxa" w:w="50"/>
              <w:left w:type="dxa" w:w="110"/>
              <w:bottom w:type="dxa" w:w="50"/>
              <w:right w:type="dxa" w:w="110"/>
            </w:tcMar>
          </w:tcPr>
          <w:p>
            <w:pPr>
              <w:spacing w:before="28" w:after="28"/>
            </w:pPr>
            <w:r>
              <w:rPr>
                <w:sz w:val="15"/>
                <w:szCs w:val="15"/>
              </w:rPr>
              <w:t xml:space="preserve">11.0%</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709"/>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709"/>
            <w:shd w:fill="FBFAF6" w:val="clear"/>
            <w:tcMar>
              <w:top w:type="dxa" w:w="50"/>
              <w:left w:type="dxa" w:w="110"/>
              <w:bottom w:type="dxa" w:w="50"/>
              <w:right w:type="dxa" w:w="110"/>
            </w:tcMar>
          </w:tcPr>
          <w:p>
            <w:pPr>
              <w:spacing w:before="28" w:after="28"/>
            </w:pPr>
            <w:r>
              <w:rPr>
                <w:sz w:val="15"/>
                <w:szCs w:val="15"/>
              </w:rPr>
              <w:t xml:space="preserve">0.50 kWh</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709"/>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70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82"/>
            <w:tcMar>
              <w:top w:type="dxa" w:w="50"/>
              <w:left w:type="dxa" w:w="110"/>
              <w:bottom w:type="dxa" w:w="50"/>
              <w:right w:type="dxa" w:w="110"/>
            </w:tcMar>
          </w:tcPr>
          <w:p>
            <w:pPr>
              <w:spacing w:before="28" w:after="28"/>
            </w:pPr>
            <w:r>
              <w:rPr>
                <w:sz w:val="15"/>
                <w:szCs w:val="15"/>
              </w:rPr>
              <w:t xml:space="preserve">+2.4 h</w:t>
            </w:r>
          </w:p>
        </w:tc>
        <w:tc>
          <w:tcPr>
            <w:tcW w:type="pct" w:w="709"/>
            <w:tcMar>
              <w:top w:type="dxa" w:w="50"/>
              <w:left w:type="dxa" w:w="110"/>
              <w:bottom w:type="dxa" w:w="50"/>
              <w:right w:type="dxa" w:w="110"/>
            </w:tcMar>
          </w:tcPr>
          <w:p>
            <w:pPr>
              <w:spacing w:before="28" w:after="28"/>
            </w:pPr>
            <w:r>
              <w:rPr>
                <w:sz w:val="15"/>
                <w:szCs w:val="15"/>
              </w:rPr>
              <w:t xml:space="preserve">14.4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+2.40 points   ·   −0.02 kWh   ·   short-term objectives   ·   12 h   ·   +0.80 points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statement   ·   short-term objectives   ·   tactics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00"/>
            <w:tcMar>
              <w:top w:type="dxa" w:w="50"/>
              <w:left w:type="dxa" w:w="110"/>
              <w:bottom w:type="dxa" w:w="50"/>
              <w:right w:type="dxa" w:w="110"/>
            </w:tcMar>
          </w:tcPr>
          <w:p>
            <w:pPr>
              <w:spacing w:before="26" w:after="26"/>
            </w:pPr>
            <w:r>
              <w:rPr>
                <w:color w:val="232733"/>
                <w:sz w:val="16"/>
                <w:szCs w:val="16"/>
              </w:rPr>
              <w:t xml:space="preserve">الأهداف قصيرة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tactics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التكتيكات</w:t>
            </w:r>
          </w:p>
        </w:tc>
      </w:tr>
      <w:tr>
        <w:tc>
          <w:tcPr>
            <w:tcW w:type="pct" w:w="2600"/>
            <w:tcMar>
              <w:top w:type="dxa" w:w="50"/>
              <w:left w:type="dxa" w:w="110"/>
              <w:bottom w:type="dxa" w:w="50"/>
              <w:right w:type="dxa" w:w="110"/>
            </w:tcMar>
          </w:tcPr>
          <w:p>
            <w:pPr>
              <w:spacing w:before="26" w:after="26"/>
            </w:pPr>
            <w:r>
              <w:rPr>
                <w:color w:val="232733"/>
                <w:sz w:val="16"/>
                <w:szCs w:val="16"/>
              </w:rPr>
              <w:t xml:space="preserve">operational plan</w:t>
            </w:r>
          </w:p>
        </w:tc>
        <w:tc>
          <w:tcPr>
            <w:tcW w:type="pct" w:w="2400"/>
            <w:tcMar>
              <w:top w:type="dxa" w:w="50"/>
              <w:left w:type="dxa" w:w="110"/>
              <w:bottom w:type="dxa" w:w="50"/>
              <w:right w:type="dxa" w:w="110"/>
            </w:tcMar>
          </w:tcPr>
          <w:p>
            <w:pPr>
              <w:spacing w:before="26" w:after="26"/>
            </w:pPr>
            <w:r>
              <w:rPr>
                <w:color w:val="232733"/>
                <w:sz w:val="16"/>
                <w:szCs w:val="16"/>
              </w:rPr>
              <w:t xml:space="preserve">الخطة التشغيلية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Congruence: objectives, tactics, plans and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+2.40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Tactics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+0.80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−0.02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12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marketing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short-term objectives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tactics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Short-term objectives are measurable results for the coming year that move the company toward its goals. Tactics are the specific actions used to reach them, and the operational plan sets out the people, activities and resources. The budget puts all of this into money. Each level must fit the level above it. This fit is called congruence. If the budget cuts export marketing while the plan calls for export growth, the company will miss its goal even if every manager meets the budget. A simple way to set objectives is to divide the change needed over the plan into equal yearly steps. Exports must rise by 12.0 points over 5 years, or 2.40 points a year, so the 2028 objective is 20.4%.</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Characteristics of successful strategic plans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strategic plan gives a clear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follows from the mission. </w:t>
      </w:r>
      <w:r>
        <w:rPr>
          <w:sz w:val="19"/>
          <w:szCs w:val="19"/>
        </w:rPr>
        <w:t xml:space="preserve">Its goals are measurable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based on a careful study of the company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is also shared: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help set their own objectives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how they contribute. </w:t>
      </w:r>
      <w:r>
        <w:rPr>
          <w:sz w:val="19"/>
          <w:szCs w:val="19"/>
        </w:rPr>
        <w:t xml:space="preserve">It is linked to resources, so that people and money are available, and it is reviewed regularly, with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plans for the main risks. </w:t>
      </w:r>
      <w:r>
        <w:rPr>
          <w:sz w:val="19"/>
          <w:szCs w:val="19"/>
        </w:rPr>
        <w:t xml:space="preserve">Measurable objectives are the most common weakness in practice.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   ·   direction   ·   realistic   ·   understand   ·   contingency   ·   successful   ·   environment   ·   managers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54"/>
        <w:gridCol w:w="3601"/>
        <w:gridCol w:w="33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Weak and strong objectives</w:t>
            </w:r>
          </w:p>
        </w:tc>
      </w:tr>
      <w:tr>
        <w:tc>
          <w:tcPr>
            <w:tcW w:type="pct" w:w="1382"/>
            <w:shd w:fill="353A7C" w:val="clear"/>
            <w:tcMar>
              <w:top w:type="dxa" w:w="50"/>
              <w:left w:type="dxa" w:w="110"/>
              <w:bottom w:type="dxa" w:w="50"/>
              <w:right w:type="dxa" w:w="110"/>
            </w:tcMar>
          </w:tcPr>
          <w:p>
            <w:pPr>
              <w:spacing w:before="30" w:after="30"/>
            </w:pPr>
            <w:r>
              <w:rPr>
                <w:b/>
                <w:bCs/>
                <w:color w:val="FFFFFF"/>
                <w:sz w:val="15"/>
                <w:szCs w:val="15"/>
              </w:rPr>
              <w:t xml:space="preserve">Weak objective</w:t>
            </w:r>
          </w:p>
        </w:tc>
        <w:tc>
          <w:tcPr>
            <w:tcW w:type="pct" w:w="1876"/>
            <w:shd w:fill="353A7C" w:val="clear"/>
            <w:tcMar>
              <w:top w:type="dxa" w:w="50"/>
              <w:left w:type="dxa" w:w="110"/>
              <w:bottom w:type="dxa" w:w="50"/>
              <w:right w:type="dxa" w:w="110"/>
            </w:tcMar>
          </w:tcPr>
          <w:p>
            <w:pPr>
              <w:spacing w:before="30" w:after="30"/>
            </w:pPr>
            <w:r>
              <w:rPr>
                <w:b/>
                <w:bCs/>
                <w:color w:val="FFFFFF"/>
                <w:sz w:val="15"/>
                <w:szCs w:val="15"/>
              </w:rPr>
              <w:t xml:space="preserve">Strong objective</w:t>
            </w:r>
          </w:p>
        </w:tc>
        <w:tc>
          <w:tcPr>
            <w:tcW w:type="pct" w:w="1742"/>
            <w:shd w:fill="353A7C" w:val="clear"/>
            <w:tcMar>
              <w:top w:type="dxa" w:w="50"/>
              <w:left w:type="dxa" w:w="110"/>
              <w:bottom w:type="dxa" w:w="50"/>
              <w:right w:type="dxa" w:w="110"/>
            </w:tcMar>
          </w:tcPr>
          <w:p>
            <w:pPr>
              <w:spacing w:before="30" w:after="30"/>
            </w:pPr>
            <w:r>
              <w:rPr>
                <w:b/>
                <w:bCs/>
                <w:color w:val="FFFFFF"/>
                <w:sz w:val="15"/>
                <w:szCs w:val="15"/>
              </w:rPr>
              <w:t xml:space="preserve">Why it is better</w:t>
            </w:r>
          </w:p>
        </w:tc>
      </w:tr>
      <w:tr>
        <w:tc>
          <w:tcPr>
            <w:tcW w:type="pct" w:w="1382"/>
            <w:tcMar>
              <w:top w:type="dxa" w:w="50"/>
              <w:left w:type="dxa" w:w="110"/>
              <w:bottom w:type="dxa" w:w="50"/>
              <w:right w:type="dxa" w:w="110"/>
            </w:tcMar>
          </w:tcPr>
          <w:p>
            <w:pPr>
              <w:spacing w:before="28" w:after="28"/>
            </w:pPr>
            <w:r>
              <w:rPr>
                <w:sz w:val="15"/>
                <w:szCs w:val="15"/>
              </w:rPr>
              <w:t xml:space="preserve">“Grow exports.”</w:t>
            </w:r>
          </w:p>
        </w:tc>
        <w:tc>
          <w:tcPr>
            <w:tcW w:type="pct" w:w="1876"/>
            <w:tcMar>
              <w:top w:type="dxa" w:w="50"/>
              <w:left w:type="dxa" w:w="110"/>
              <w:bottom w:type="dxa" w:w="50"/>
              <w:right w:type="dxa" w:w="110"/>
            </w:tcMar>
          </w:tcPr>
          <w:p>
            <w:pPr>
              <w:spacing w:before="28" w:after="28"/>
            </w:pPr>
            <w:r>
              <w:rPr>
                <w:sz w:val="15"/>
                <w:szCs w:val="15"/>
              </w:rPr>
              <w:t xml:space="preserve">“Exports 20.4% of revenue in 2028.”</w:t>
            </w:r>
          </w:p>
        </w:tc>
        <w:tc>
          <w:tcPr>
            <w:tcW w:type="pct" w:w="1742"/>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82"/>
            <w:shd w:fill="FBFAF6" w:val="clear"/>
            <w:tcMar>
              <w:top w:type="dxa" w:w="50"/>
              <w:left w:type="dxa" w:w="110"/>
              <w:bottom w:type="dxa" w:w="50"/>
              <w:right w:type="dxa" w:w="110"/>
            </w:tcMar>
          </w:tcPr>
          <w:p>
            <w:pPr>
              <w:spacing w:before="28" w:after="28"/>
            </w:pPr>
            <w:r>
              <w:rPr>
                <w:sz w:val="15"/>
                <w:szCs w:val="15"/>
              </w:rPr>
              <w:t xml:space="preserve">“Use less energy.”</w:t>
            </w:r>
          </w:p>
        </w:tc>
        <w:tc>
          <w:tcPr>
            <w:tcW w:type="pct" w:w="187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742"/>
            <w:shd w:fill="FBFAF6" w:val="clear"/>
            <w:tcMar>
              <w:top w:type="dxa" w:w="50"/>
              <w:left w:type="dxa" w:w="110"/>
              <w:bottom w:type="dxa" w:w="50"/>
              <w:right w:type="dxa" w:w="110"/>
            </w:tcMar>
          </w:tcPr>
          <w:p>
            <w:pPr>
              <w:spacing w:before="28" w:after="28"/>
            </w:pPr>
            <w:r>
              <w:rPr>
                <w:sz w:val="15"/>
                <w:szCs w:val="15"/>
              </w:rPr>
              <w:t xml:space="preserve">A number the plant can track</w:t>
            </w:r>
          </w:p>
        </w:tc>
      </w:tr>
      <w:tr>
        <w:tc>
          <w:tcPr>
            <w:tcW w:type="pct" w:w="1382"/>
            <w:tcMar>
              <w:top w:type="dxa" w:w="50"/>
              <w:left w:type="dxa" w:w="110"/>
              <w:bottom w:type="dxa" w:w="50"/>
              <w:right w:type="dxa" w:w="110"/>
            </w:tcMar>
          </w:tcPr>
          <w:p>
            <w:pPr>
              <w:spacing w:before="28" w:after="28"/>
            </w:pPr>
            <w:r>
              <w:rPr>
                <w:sz w:val="15"/>
                <w:szCs w:val="15"/>
              </w:rPr>
              <w:t xml:space="preserve">“Train people more.”</w:t>
            </w:r>
          </w:p>
        </w:tc>
        <w:tc>
          <w:tcPr>
            <w:tcW w:type="pct" w:w="187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742"/>
            <w:tcMar>
              <w:top w:type="dxa" w:w="50"/>
              <w:left w:type="dxa" w:w="110"/>
              <w:bottom w:type="dxa" w:w="50"/>
              <w:right w:type="dxa" w:w="110"/>
            </w:tcMar>
          </w:tcPr>
          <w:p>
            <w:pPr>
              <w:spacing w:before="28" w:after="28"/>
            </w:pPr>
            <w:r>
              <w:rPr>
                <w:sz w:val="15"/>
                <w:szCs w:val="15"/>
              </w:rPr>
              <w:t xml:space="preserve">Owned by HR, easy to check</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Measurable and dated   ·   “0.48 kWh per case of juice in 2028.”   ·   “14.4 training hours per employee in 2028.”   ·   Linked to budgets, people and investment</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0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100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Realistic   ·   Measurable goals   ·   Flexible   ·   strategic plan</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Characteristics of successful strategic plans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successful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Measurable and dated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“0.48 kWh per case of juice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realistic</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“14.4 training hours per employee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Measurable goals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Realistic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understand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Flexible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successful strategic plan gives a clear direction that follows from the mission. Its goals are measurable and realistic, based on a careful study of the company and its environment. It is also shared: managers help set their own objectives and understand how they contribute. It is linked to resources, so that people and money are available, and it is reviewed regularly, with contingency plans for the main risks. Measurable objectives are the most common weakness in practice.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from the Orontes goals to the 2028 plan</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five goals from the 2032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the 2028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the main tactic for each. </w:t>
      </w:r>
      <w:r>
        <w:rPr>
          <w:sz w:val="19"/>
          <w:szCs w:val="19"/>
        </w:rPr>
        <w:t xml:space="preserve">Plan period: 2028 to 2032, 5 years; baseline year 2027.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equal yearly steps from the baseline to each goal. </w:t>
      </w:r>
      <w:r>
        <w:rPr>
          <w:sz w:val="19"/>
          <w:szCs w:val="19"/>
        </w:rPr>
        <w:t xml:space="preserve">Return on investment must rise from 11.0% to 15.0%, so the first-year objective is 11.8%.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objectives   ·   Method   ·   follows   ·   targets   ·   operational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091"/>
        <w:gridCol w:w="1091"/>
        <w:gridCol w:w="319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the plan on one page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2032 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Main tactic</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568"/>
            <w:tcMar>
              <w:top w:type="dxa" w:w="50"/>
              <w:left w:type="dxa" w:w="110"/>
              <w:bottom w:type="dxa" w:w="50"/>
              <w:right w:type="dxa" w:w="110"/>
            </w:tcMar>
          </w:tcPr>
          <w:p>
            <w:pPr>
              <w:spacing w:before="28" w:after="28"/>
            </w:pPr>
            <w:r>
              <w:rPr>
                <w:sz w:val="15"/>
                <w:szCs w:val="15"/>
              </w:rPr>
              <w:t xml:space="preserve">20.4%</w:t>
            </w:r>
          </w:p>
        </w:tc>
        <w:tc>
          <w:tcPr>
            <w:tcW w:type="pct" w:w="1664"/>
            <w:tcMar>
              <w:top w:type="dxa" w:w="50"/>
              <w:left w:type="dxa" w:w="110"/>
              <w:bottom w:type="dxa" w:w="50"/>
              <w:right w:type="dxa" w:w="110"/>
            </w:tcMar>
          </w:tcPr>
          <w:p>
            <w:pPr>
              <w:spacing w:before="28" w:after="28"/>
            </w:pPr>
            <w:r>
              <w:rPr>
                <w:sz w:val="15"/>
                <w:szCs w:val="15"/>
              </w:rPr>
              <w:t xml:space="preserve">Gulf retail chains; private-label tahini</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568"/>
            <w:shd w:fill="FBFAF6" w:val="clear"/>
            <w:tcMar>
              <w:top w:type="dxa" w:w="50"/>
              <w:left w:type="dxa" w:w="110"/>
              <w:bottom w:type="dxa" w:w="50"/>
              <w:right w:type="dxa" w:w="110"/>
            </w:tcMar>
          </w:tcPr>
          <w:p>
            <w:pPr>
              <w:spacing w:before="28" w:after="28"/>
            </w:pPr>
            <w:r>
              <w:rPr>
                <w:sz w:val="15"/>
                <w:szCs w:val="15"/>
              </w:rPr>
              <w:t xml:space="preserve">15.0%</w:t>
            </w:r>
          </w:p>
        </w:tc>
        <w:tc>
          <w:tcPr>
            <w:tcW w:type="pct" w:w="568"/>
            <w:shd w:fill="FBFAF6" w:val="clear"/>
            <w:tcMar>
              <w:top w:type="dxa" w:w="50"/>
              <w:left w:type="dxa" w:w="110"/>
              <w:bottom w:type="dxa" w:w="50"/>
              <w:right w:type="dxa" w:w="110"/>
            </w:tcMar>
          </w:tcPr>
          <w:p>
            <w:pPr>
              <w:spacing w:before="28" w:after="28"/>
            </w:pPr>
            <w:r>
              <w:rPr>
                <w:sz w:val="15"/>
                <w:szCs w:val="15"/>
              </w:rPr>
              <w:t xml:space="preserve">7.8%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568"/>
            <w:tcMar>
              <w:top w:type="dxa" w:w="50"/>
              <w:left w:type="dxa" w:w="110"/>
              <w:bottom w:type="dxa" w:w="50"/>
              <w:right w:type="dxa" w:w="110"/>
            </w:tcMar>
          </w:tcPr>
          <w:p>
            <w:pPr>
              <w:spacing w:before="28" w:after="28"/>
            </w:pPr>
            <w:r>
              <w:rPr>
                <w:sz w:val="15"/>
                <w:szCs w:val="15"/>
              </w:rPr>
              <w:t xml:space="preserve">15.0%</w:t>
            </w:r>
          </w:p>
        </w:tc>
        <w:tc>
          <w:tcPr>
            <w:tcW w:type="pct" w:w="568"/>
            <w:tcMar>
              <w:top w:type="dxa" w:w="50"/>
              <w:left w:type="dxa" w:w="110"/>
              <w:bottom w:type="dxa" w:w="50"/>
              <w:right w:type="dxa" w:w="110"/>
            </w:tcMar>
          </w:tcPr>
          <w:p>
            <w:pPr>
              <w:spacing w:before="28" w:after="28"/>
            </w:pPr>
            <w:r>
              <w:rPr>
                <w:sz w:val="15"/>
                <w:szCs w:val="15"/>
              </w:rPr>
              <w:t xml:space="preserve">11.8%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68"/>
            <w:shd w:fill="FBFAF6" w:val="clear"/>
            <w:tcMar>
              <w:top w:type="dxa" w:w="50"/>
              <w:left w:type="dxa" w:w="110"/>
              <w:bottom w:type="dxa" w:w="50"/>
              <w:right w:type="dxa" w:w="110"/>
            </w:tcMar>
          </w:tcPr>
          <w:p>
            <w:pPr>
              <w:spacing w:before="28" w:after="28"/>
            </w:pPr>
            <w:r>
              <w:rPr>
                <w:sz w:val="15"/>
                <w:szCs w:val="15"/>
              </w:rPr>
              <w:t xml:space="preserve">0.48 kWh</w:t>
            </w:r>
          </w:p>
        </w:tc>
        <w:tc>
          <w:tcPr>
            <w:tcW w:type="pct" w:w="1664"/>
            <w:shd w:fill="FBFAF6" w:val="clear"/>
            <w:tcMar>
              <w:top w:type="dxa" w:w="50"/>
              <w:left w:type="dxa" w:w="110"/>
              <w:bottom w:type="dxa" w:w="50"/>
              <w:right w:type="dxa" w:w="110"/>
            </w:tcMar>
          </w:tcPr>
          <w:p>
            <w:pPr>
              <w:spacing w:before="28" w:after="28"/>
            </w:pPr>
            <w:r>
              <w:rPr>
                <w:sz w:val="15"/>
                <w:szCs w:val="15"/>
              </w:rPr>
              <w:t xml:space="preserve">New filling-line motors; kaizen on changeovers</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568"/>
            <w:tcMar>
              <w:top w:type="dxa" w:w="50"/>
              <w:left w:type="dxa" w:w="110"/>
              <w:bottom w:type="dxa" w:w="50"/>
              <w:right w:type="dxa" w:w="110"/>
            </w:tcMar>
          </w:tcPr>
          <w:p>
            <w:pPr>
              <w:spacing w:before="28" w:after="28"/>
            </w:pPr>
            <w:r>
              <w:rPr>
                <w:sz w:val="15"/>
                <w:szCs w:val="15"/>
              </w:rPr>
              <w:t xml:space="preserve">24 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664"/>
            <w:tcMar>
              <w:top w:type="dxa" w:w="50"/>
              <w:left w:type="dxa" w:w="110"/>
              <w:bottom w:type="dxa" w:w="50"/>
              <w:right w:type="dxa" w:w="110"/>
            </w:tcMar>
          </w:tcPr>
          <w:p>
            <w:pPr>
              <w:spacing w:before="28" w:after="28"/>
            </w:pPr>
            <w:r>
              <w:rPr>
                <w:sz w:val="15"/>
                <w:szCs w:val="15"/>
              </w:rPr>
              <w:t xml:space="preserve">Supervisor and quality courses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0.40 kWh   ·   Launch sugar-free halva and juice   ·   Sell unused equipment; tighter stock control   ·   Gulf retail chains; private-label tahini   ·   14.4 h</w:t>
            </w:r>
          </w:p>
        </w:tc>
      </w:tr>
    </w:tbl>
    <w:p/>
    <w:p>
      <w:pPr>
        <w:spacing w:before="20" w:after="20" w:line="360" w:lineRule="auto"/>
        <w:ind w:left="200"/>
      </w:pPr>
      <w:r>
        <w:rPr>
          <w:sz w:val="19"/>
          <w:szCs w:val="19"/>
        </w:rPr>
        <w:t xml:space="preserve">Each tactic now needs an owner, an operational plan and a budget line.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The first step gives the 2028 objective of 20.4%.</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Expect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classify 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vision, goal, objective or tactic, and questions on time frames and on the fit between the budget and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Some questions give a goal and a period and ask for the first-year objective.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   mission   ·   statements   ·   follows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921"/>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2030 (goal)</w:t>
            </w:r>
          </w:p>
        </w:tc>
      </w:tr>
      <w:tr>
        <w:tc>
          <w:tcPr>
            <w:tcW w:type="pct" w:w="2200"/>
            <w:tcMar>
              <w:top w:type="dxa" w:w="50"/>
              <w:left w:type="dxa" w:w="110"/>
              <w:bottom w:type="dxa" w:w="50"/>
              <w:right w:type="dxa" w:w="110"/>
            </w:tcMar>
          </w:tcPr>
          <w:p>
            <w:pPr>
              <w:spacing w:before="28" w:after="28"/>
            </w:pPr>
            <w:r>
              <w:rPr>
                <w:sz w:val="15"/>
                <w:szCs w:val="15"/>
              </w:rPr>
              <w:t xml:space="preserve">Deliveries on time</w:t>
            </w:r>
          </w:p>
        </w:tc>
        <w:tc>
          <w:tcPr>
            <w:tcW w:type="pct" w:w="2042"/>
            <w:tcMar>
              <w:top w:type="dxa" w:w="50"/>
              <w:left w:type="dxa" w:w="110"/>
              <w:bottom w:type="dxa" w:w="50"/>
              <w:right w:type="dxa" w:w="110"/>
            </w:tcMar>
          </w:tcPr>
          <w:p>
            <w:pPr>
              <w:spacing w:before="28" w:after="28"/>
            </w:pPr>
            <w:r>
              <w:rPr>
                <w:sz w:val="15"/>
                <w:szCs w:val="15"/>
              </w:rPr>
              <w:t xml:space="preserve">88.0%</w:t>
            </w:r>
          </w:p>
        </w:tc>
        <w:tc>
          <w:tcPr>
            <w:tcW w:type="pct" w:w="758"/>
            <w:tcMar>
              <w:top w:type="dxa" w:w="50"/>
              <w:left w:type="dxa" w:w="110"/>
              <w:bottom w:type="dxa" w:w="50"/>
              <w:right w:type="dxa" w:w="110"/>
            </w:tcMar>
          </w:tcPr>
          <w:p>
            <w:pPr>
              <w:spacing w:before="28" w:after="28"/>
            </w:pPr>
            <w:r>
              <w:rPr>
                <w:sz w:val="15"/>
                <w:szCs w:val="15"/>
              </w:rPr>
              <w:t xml:space="preserve">97.0%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per delivery stop (USD)</w:t>
            </w:r>
          </w:p>
        </w:tc>
        <w:tc>
          <w:tcPr>
            <w:tcW w:type="pct" w:w="2042"/>
            <w:shd w:fill="FBFAF6" w:val="clear"/>
            <w:tcMar>
              <w:top w:type="dxa" w:w="50"/>
              <w:left w:type="dxa" w:w="110"/>
              <w:bottom w:type="dxa" w:w="50"/>
              <w:right w:type="dxa" w:w="110"/>
            </w:tcMar>
          </w:tcPr>
          <w:p>
            <w:pPr>
              <w:spacing w:before="28" w:after="28"/>
            </w:pPr>
            <w:r>
              <w:rPr>
                <w:sz w:val="15"/>
                <w:szCs w:val="15"/>
              </w:rPr>
              <w:t xml:space="preserve">42.0</w:t>
            </w:r>
          </w:p>
        </w:tc>
        <w:tc>
          <w:tcPr>
            <w:tcW w:type="pct" w:w="758"/>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200"/>
            <w:tcMar>
              <w:top w:type="dxa" w:w="50"/>
              <w:left w:type="dxa" w:w="110"/>
              <w:bottom w:type="dxa" w:w="50"/>
              <w:right w:type="dxa" w:w="110"/>
            </w:tcMar>
          </w:tcPr>
          <w:p>
            <w:pPr>
              <w:spacing w:before="28" w:after="28"/>
            </w:pPr>
            <w:r>
              <w:rPr>
                <w:sz w:val="15"/>
                <w:szCs w:val="15"/>
              </w:rPr>
              <w:t xml:space="preserve">Plan period</w:t>
            </w:r>
          </w:p>
        </w:tc>
        <w:tc>
          <w:tcPr>
            <w:tcW w:type="pct" w:w="2042"/>
            <w:tcMar>
              <w:top w:type="dxa" w:w="50"/>
              <w:left w:type="dxa" w:w="110"/>
              <w:bottom w:type="dxa" w:w="50"/>
              <w:right w:type="dxa" w:w="110"/>
            </w:tcMar>
          </w:tcPr>
          <w:p>
            <w:pPr>
              <w:spacing w:before="28" w:after="28"/>
            </w:pPr>
            <w:r>
              <w:rPr>
                <w:sz w:val="15"/>
                <w:szCs w:val="15"/>
              </w:rPr>
              <w:t xml:space="preserve">2028–2030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0.40 kWh   ·   3 years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Return on investment, 2028</w:t>
            </w:r>
          </w:p>
        </w:tc>
        <w:tc>
          <w:tcPr>
            <w:tcW w:type="pct" w:w="2600"/>
            <w:tcMar>
              <w:top w:type="dxa" w:w="50"/>
              <w:left w:type="dxa" w:w="110"/>
              <w:bottom w:type="dxa" w:w="50"/>
              <w:right w:type="dxa" w:w="110"/>
            </w:tcMar>
          </w:tcPr>
          <w:p>
            <w:pPr>
              <w:spacing w:before="28" w:after="28"/>
            </w:pPr>
            <w:r>
              <w:rPr>
                <w:sz w:val="15"/>
                <w:szCs w:val="15"/>
              </w:rPr>
              <w:t xml:space="preserve">11.0% + (15.0% − 11.0%) ÷ 5 = 11.8%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Energy per case, 2028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0.50 − (0.50 − 0.40) ÷ 5 = 0.48 kWh   ·   To be the most reliable food distributor in the Levant</w:t>
            </w:r>
          </w:p>
        </w:tc>
      </w:tr>
    </w:tbl>
    <w:p/>
    <w:p>
      <w:pPr>
        <w:spacing w:before="44" w:after="10"/>
      </w:pPr>
      <w:r>
        <w:rPr>
          <w:b/>
          <w:bCs/>
          <w:color w:val="353A7C"/>
          <w:sz w:val="18"/>
          <w:szCs w:val="18"/>
        </w:rPr>
        <w:t xml:space="preserve">Statement — Category</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368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68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   Vision   ·   tactics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7"/>
        <w:gridCol w:w="464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2"/>
            <w:tcMar>
              <w:top w:type="dxa" w:w="50"/>
              <w:left w:type="dxa" w:w="110"/>
              <w:bottom w:type="dxa" w:w="50"/>
              <w:right w:type="dxa" w:w="110"/>
            </w:tcMar>
          </w:tcPr>
          <w:p>
            <w:pPr>
              <w:spacing w:before="26" w:after="26"/>
            </w:pPr>
            <w:r>
              <w:rPr>
                <w:color w:val="232733"/>
                <w:sz w:val="16"/>
                <w:szCs w:val="16"/>
              </w:rPr>
              <w:t xml:space="preserve">strategic plan</w:t>
            </w:r>
          </w:p>
        </w:tc>
        <w:tc>
          <w:tcPr>
            <w:tcW w:type="pct" w:w="2418"/>
            <w:tcMar>
              <w:top w:type="dxa" w:w="50"/>
              <w:left w:type="dxa" w:w="110"/>
              <w:bottom w:type="dxa" w:w="50"/>
              <w:right w:type="dxa" w:w="110"/>
            </w:tcMar>
          </w:tcPr>
          <w:p>
            <w:pPr>
              <w:spacing w:before="26" w:after="26"/>
            </w:pPr>
            <w:r>
              <w:rPr>
                <w:color w:val="232733"/>
                <w:sz w:val="16"/>
                <w:szCs w:val="16"/>
              </w:rPr>
              <w:t xml:space="preserve">الخطة الاستراتيجية</w:t>
            </w:r>
          </w:p>
        </w:tc>
      </w:tr>
      <w:tr>
        <w:tc>
          <w:tcPr>
            <w:tcW w:type="pct" w:w="2582"/>
            <w:shd w:fill="FBFAF6" w:val="clear"/>
            <w:tcMar>
              <w:top w:type="dxa" w:w="50"/>
              <w:left w:type="dxa" w:w="110"/>
              <w:bottom w:type="dxa" w:w="50"/>
              <w:right w:type="dxa" w:w="110"/>
            </w:tcMar>
          </w:tcPr>
          <w:p>
            <w:pPr>
              <w:spacing w:before="26" w:after="26"/>
            </w:pPr>
            <w:r>
              <w:rPr>
                <w:color w:val="232733"/>
                <w:sz w:val="16"/>
                <w:szCs w:val="16"/>
              </w:rPr>
              <w:t xml:space="preserve">long-term goals</w:t>
            </w:r>
          </w:p>
        </w:tc>
        <w:tc>
          <w:tcPr>
            <w:tcW w:type="pct" w:w="2418"/>
            <w:shd w:fill="FBFAF6" w:val="clear"/>
            <w:tcMar>
              <w:top w:type="dxa" w:w="50"/>
              <w:left w:type="dxa" w:w="110"/>
              <w:bottom w:type="dxa" w:w="50"/>
              <w:right w:type="dxa" w:w="110"/>
            </w:tcMar>
          </w:tcPr>
          <w:p>
            <w:pPr>
              <w:spacing w:before="26" w:after="26"/>
            </w:pPr>
            <w:r>
              <w:rPr>
                <w:color w:val="232733"/>
                <w:sz w:val="16"/>
                <w:szCs w:val="16"/>
              </w:rPr>
              <w:t xml:space="preserve">الأهداف طويلة الأجل</w:t>
            </w:r>
          </w:p>
        </w:tc>
      </w:tr>
      <w:tr>
        <w:tc>
          <w:tcPr>
            <w:tcW w:type="pct" w:w="2582"/>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18"/>
            <w:tcMar>
              <w:top w:type="dxa" w:w="50"/>
              <w:left w:type="dxa" w:w="110"/>
              <w:bottom w:type="dxa" w:w="50"/>
              <w:right w:type="dxa" w:w="110"/>
            </w:tcMar>
          </w:tcPr>
          <w:p>
            <w:pPr>
              <w:spacing w:before="26" w:after="26"/>
            </w:pPr>
            <w:r>
              <w:rPr>
                <w:color w:val="232733"/>
                <w:sz w:val="16"/>
                <w:szCs w:val="16"/>
              </w:rPr>
              <w:t xml:space="preserve">الأهداف قصيرة الأجل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from the Orontes goals to the 2028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mission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targets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3 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0.50 − (0.50 − 0.40) ÷ 5 = 0.48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Launch sugar-free halva and juice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Sell unused equipment; tighter stock control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0.40 kWh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14.4 h</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long-term goals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all five goals from the 2032 targets to the 2028 objectives and the main tactic for each. Plan period: 2028 to 2032, 5 years; baseline year 2027. Method: equal yearly steps from the baseline to each goal. Return on investment must rise from 11.0% to 15.0%, so the first-year objective is 11.8%.</w:t>
      </w:r>
    </w:p>
    <w:p>
      <w:pPr>
        <w:spacing w:before="20" w:after="20"/>
        <w:ind w:left="240" w:hanging="240"/>
      </w:pPr>
      <w:r>
        <w:rPr>
          <w:b/>
          <w:bCs/>
          <w:color w:val="353A7C"/>
          <w:sz w:val="15"/>
          <w:szCs w:val="15"/>
        </w:rPr>
        <w:t xml:space="preserve">Summary 2   </w:t>
      </w:r>
      <w:r>
        <w:rPr>
          <w:color w:val="6B7280"/>
          <w:sz w:val="15"/>
          <w:szCs w:val="15"/>
        </w:rPr>
        <w:t xml:space="preserve">Expect statements to classify as mission, vision, goal, objective or tactic, and questions on time frames and on the fit between the budget and the strategy. Some questions give a goal and a period and ask for the first-year objective.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What strategic planning does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time frame of a strategic plan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From mission to long-term goals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Congruence: objectives, tactics, plans and budgets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Characteristics of successful strategic plans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from the Orontes goals to the 2028 plan</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e5de2f0070cb253c40329974f4c640189b38d6.png" Type="http://schemas.openxmlformats.org/officeDocument/2006/relationships/image"/><Relationship Id="rId102" Target="media/83bf1fe6fa4bc43dbb6cfd045b0086985987e54a.png" Type="http://schemas.openxmlformats.org/officeDocument/2006/relationships/image"/><Relationship Id="rId103" Target="media/bbd8412638e8ff4ffe34345b073bdd6e15fcf913.png" Type="http://schemas.openxmlformats.org/officeDocument/2006/relationships/image"/><Relationship Id="rId104" Target="media/1e02428c219a75b2b07786c4c2bcccab8e42046c.png" Type="http://schemas.openxmlformats.org/officeDocument/2006/relationships/image"/><Relationship Id="rId105" Target="media/c9827c9519702c4c334e4b915d9bc2c908000e60.png" Type="http://schemas.openxmlformats.org/officeDocument/2006/relationships/image"/><Relationship Id="rId106" Target="media/ded61a042a8b61f94c830e0ebdd3beee0d5cce66.png" Type="http://schemas.openxmlformats.org/officeDocument/2006/relationships/image"/><Relationship Id="rId107" Target="media/57a107514909b30e3d0eeffeca6e088dc501c6c5.png" Type="http://schemas.openxmlformats.org/officeDocument/2006/relationships/image"/><Relationship Id="rId108" Target="media/e5a9ed6026b790c24c98c86afe07ab564deab5b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dc:title>
  <dc:subject>Summary handouts</dc:subject>
  <cp:category>Student Book</cp:category>
</cp:coreProperties>
</file>