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Zero-based budgeting starts from zero every year: each activity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figures   ·   packages   ·   subtracts   ·   head-office   ·   justified   ·   decision   ·   discretionary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2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27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p>
      <w:pPr>
        <w:spacing w:before="20" w:after="20" w:line="360" w:lineRule="auto"/>
        <w:ind w:left="200"/>
      </w:pPr>
      <w:r>
        <w:rPr>
          <w:sz w:val="19"/>
          <w:szCs w:val="19"/>
        </w:rPr>
        <w:t xml:space="preserve">The budget is the approved amount, not the requested amount.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approved amount of each package. </w:t>
      </w:r>
      <w:r>
        <w:rPr>
          <w:sz w:val="19"/>
          <w:szCs w:val="19"/>
        </w:rPr>
        <w:t xml:space="preserve">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that adds the requested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benefit   ·   amounts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quarters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also revised with the latest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December budget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900,000 cases for 2028. </w:t>
      </w:r>
      <w:r>
        <w:rPr>
          <w:sz w:val="19"/>
          <w:szCs w:val="19"/>
        </w:rPr>
        <w:t xml:space="preserve">In March, the first quarter is finished;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dropped   ·   planned   ·   between   ·   fast-changing   ·   usually   ·   information   ·   continuous   ·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budgeting   ·   (done)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between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quarters in between are also revised with the latest information.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flexible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actual costs with what they should have been at the actual volume.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manufacturing   ·   selling   ·   compare   ·   static   ·   Beverages   ·   therefore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75,000 cases, sales are $1,500,000,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666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Complete the blank cells. </w:t>
      </w:r>
      <w:r>
        <w:rPr>
          <w:sz w:val="19"/>
          <w:szCs w:val="19"/>
        </w:rPr>
        <w:t xml:space="preserve">Each extra case adds $8.20 of operating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t>
      </w:r>
      <w:r>
        <w:rPr>
          <w:sz w:val="19"/>
          <w:szCs w:val="19"/>
        </w:rPr>
        <w:t xml:space="preserve">The flexible budget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therefore   ·   variable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758"/>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2042"/>
            <w:shd w:fill="FBFAF6" w:val="clear"/>
            <w:tcMar>
              <w:top w:type="dxa" w:w="50"/>
              <w:left w:type="dxa" w:w="110"/>
              <w:bottom w:type="dxa" w:w="50"/>
              <w:right w:type="dxa" w:w="110"/>
            </w:tcMar>
          </w:tcPr>
          <w:p>
            <w:pPr>
              <w:spacing w:before="28" w:after="28"/>
            </w:pPr>
            <w:r>
              <w:rPr>
                <w:sz w:val="15"/>
                <w:szCs w:val="15"/>
              </w:rPr>
              <w:t xml:space="preserve">Continuous (rolling) budget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58"/>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58"/>
            <w:shd w:fill="FBFAF6" w:val="clear"/>
            <w:tcMar>
              <w:top w:type="dxa" w:w="50"/>
              <w:left w:type="dxa" w:w="110"/>
              <w:bottom w:type="dxa" w:w="50"/>
              <w:right w:type="dxa" w:w="110"/>
            </w:tcMar>
          </w:tcPr>
          <w:p>
            <w:pPr>
              <w:spacing w:before="28" w:after="28"/>
            </w:pPr>
            <w:r>
              <w:rPr>
                <w:sz w:val="15"/>
                <w:szCs w:val="15"/>
              </w:rPr>
              <w:t xml:space="preserve">Filling line</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2042"/>
            <w:tcMar>
              <w:top w:type="dxa" w:w="50"/>
              <w:left w:type="dxa" w:w="110"/>
              <w:bottom w:type="dxa" w:w="50"/>
              <w:right w:type="dxa" w:w="110"/>
            </w:tcMar>
          </w:tcPr>
          <w:p>
            <w:pPr>
              <w:spacing w:before="28" w:after="28"/>
            </w:pPr>
            <w:r>
              <w:rPr>
                <w:sz w:val="15"/>
                <w:szCs w:val="15"/>
              </w:rPr>
              <w:t xml:space="preserve">Activity-based budget (Chapter 4)</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Project budget (Chapter 4)   ·   Beverages plant   ·   Zero-based budget   ·   Flexible budget   ·   Beverages sales   ·   Pulses &amp; Spices</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 good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names the system, gives the reason from the situation, and notes the main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manage.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zero-based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2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4"/>
            <w:tcMar>
              <w:top w:type="dxa" w:w="50"/>
              <w:left w:type="dxa" w:w="110"/>
              <w:bottom w:type="dxa" w:w="50"/>
              <w:right w:type="dxa" w:w="110"/>
            </w:tcMar>
          </w:tcPr>
          <w:p>
            <w:pPr>
              <w:spacing w:before="28" w:after="28"/>
            </w:pPr>
            <w:r>
              <w:rPr>
                <w:sz w:val="15"/>
                <w:szCs w:val="15"/>
              </w:rPr>
              <w:t xml:space="preserve">Zero-based</w:t>
            </w:r>
          </w:p>
        </w:tc>
        <w:tc>
          <w:tcPr>
            <w:tcW w:type="pct" w:w="1686"/>
            <w:tcMar>
              <w:top w:type="dxa" w:w="50"/>
              <w:left w:type="dxa" w:w="110"/>
              <w:bottom w:type="dxa" w:w="50"/>
              <w:right w:type="dxa" w:w="110"/>
            </w:tcMar>
          </w:tcPr>
          <w:p>
            <w:pPr>
              <w:spacing w:before="28" w:after="28"/>
            </w:pPr>
            <w:r>
              <w:rPr>
                <w:sz w:val="15"/>
                <w:szCs w:val="15"/>
              </w:rPr>
              <w:t xml:space="preserve">Removes waste; questions every cost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114"/>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Constant work; targets keep moving</w:t>
            </w:r>
          </w:p>
        </w:tc>
      </w:tr>
      <w:tr>
        <w:tc>
          <w:tcPr>
            <w:tcW w:type="pct" w:w="1114"/>
            <w:tcMar>
              <w:top w:type="dxa" w:w="50"/>
              <w:left w:type="dxa" w:w="110"/>
              <w:bottom w:type="dxa" w:w="50"/>
              <w:right w:type="dxa" w:w="110"/>
            </w:tcMar>
          </w:tcPr>
          <w:p>
            <w:pPr>
              <w:spacing w:before="28" w:after="28"/>
            </w:pPr>
            <w:r>
              <w:rPr>
                <w:sz w:val="15"/>
                <w:szCs w:val="15"/>
              </w:rPr>
              <w:t xml:space="preserve">Flexible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Needs reliable cost formulas; mixed costs must be split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up to date; always a year ahead   ·   Fair comparison at the actual volume   ·   Takes much time; managers may resist   ·   One large investment over more than a year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Systems are often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head office on a zero-based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combined   ·   reviews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الموازنة المستمرة (المتحركة)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Takes much time; managers may resist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 sales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Always up to date; always a year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Fair comparison at the actual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Project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reviews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continuous (rolling)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good recommendation names the system, gives the reason from the situation, and notes the main limitation to manage.</w:t>
      </w:r>
    </w:p>
    <w:p>
      <w:pPr>
        <w:spacing w:before="20" w:after="20"/>
        <w:ind w:left="240" w:hanging="240"/>
      </w:pPr>
      <w:r>
        <w:rPr>
          <w:b/>
          <w:bCs/>
          <w:color w:val="353A7C"/>
          <w:sz w:val="15"/>
          <w:szCs w:val="15"/>
        </w:rPr>
        <w:t xml:space="preserve">Summary 2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contribution margin, and the answer must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include   ·   measure   ·   overstates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per case   ·   Cases a year   ·   Increase   ·   Variable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extra margin on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case is larger than the margin lost on the cases no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remaining   ·   longer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Multiplying the old volume by the new margin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overstates   ·   ignores   ·   remaining</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 margin per case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 a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The extra margin on every remaining case is larger than the margin lost on the cases no longer sold.</w:t>
      </w:r>
    </w:p>
    <w:p>
      <w:pPr>
        <w:spacing w:before="20" w:after="20"/>
        <w:ind w:left="240" w:hanging="240"/>
      </w:pPr>
      <w:r>
        <w:rPr>
          <w:b/>
          <w:bCs/>
          <w:color w:val="353A7C"/>
          <w:sz w:val="15"/>
          <w:szCs w:val="15"/>
        </w:rPr>
        <w:t xml:space="preserve">Summary 3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50"/>
        <w:gridCol w:w="292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1276"/>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1524"/>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1276"/>
            <w:tcMar>
              <w:top w:type="dxa" w:w="50"/>
              <w:left w:type="dxa" w:w="110"/>
              <w:bottom w:type="dxa" w:w="50"/>
              <w:right w:type="dxa" w:w="110"/>
            </w:tcMar>
          </w:tcPr>
          <w:p>
            <w:pPr>
              <w:spacing w:before="28" w:after="28"/>
            </w:pPr>
            <w:r>
              <w:rPr>
                <w:sz w:val="15"/>
                <w:szCs w:val="15"/>
              </w:rPr>
              <w:t xml:space="preserve">Head office</w:t>
            </w:r>
          </w:p>
        </w:tc>
        <w:tc>
          <w:tcPr>
            <w:tcW w:type="pct" w:w="1524"/>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Approved $1,100,000, saving $148,000 against last year + 4%</w:t>
            </w:r>
          </w:p>
        </w:tc>
      </w:tr>
      <w:tr>
        <w:tc>
          <w:tcPr>
            <w:tcW w:type="pct" w:w="1276"/>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1524"/>
            <w:shd w:fill="FBFAF6" w:val="clear"/>
            <w:tcMar>
              <w:top w:type="dxa" w:w="50"/>
              <w:left w:type="dxa" w:w="110"/>
              <w:bottom w:type="dxa" w:w="50"/>
              <w:right w:type="dxa" w:w="110"/>
            </w:tcMar>
          </w:tcPr>
          <w:p>
            <w:pPr>
              <w:spacing w:before="28" w:after="28"/>
            </w:pPr>
            <w:r>
              <w:rPr>
                <w:sz w:val="15"/>
                <w:szCs w:val="15"/>
              </w:rPr>
              <w:t xml:space="preserve">Rolling (quarterly)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276"/>
            <w:tcMar>
              <w:top w:type="dxa" w:w="50"/>
              <w:left w:type="dxa" w:w="110"/>
              <w:bottom w:type="dxa" w:w="50"/>
              <w:right w:type="dxa" w:w="110"/>
            </w:tcMar>
          </w:tcPr>
          <w:p>
            <w:pPr>
              <w:spacing w:before="28" w:after="28"/>
            </w:pPr>
            <w:r>
              <w:rPr>
                <w:sz w:val="15"/>
                <w:szCs w:val="15"/>
              </w:rPr>
              <w:t xml:space="preserve">Beverages costs</w:t>
            </w:r>
          </w:p>
        </w:tc>
        <w:tc>
          <w:tcPr>
            <w:tcW w:type="pct" w:w="1524"/>
            <w:tcMar>
              <w:top w:type="dxa" w:w="50"/>
              <w:left w:type="dxa" w:w="110"/>
              <w:bottom w:type="dxa" w:w="50"/>
              <w:right w:type="dxa" w:w="110"/>
            </w:tcMar>
          </w:tcPr>
          <w:p>
            <w:pPr>
              <w:spacing w:before="28" w:after="28"/>
            </w:pPr>
            <w:r>
              <w:rPr>
                <w:sz w:val="15"/>
                <w:szCs w:val="15"/>
              </w:rPr>
              <w:t xml:space="preserve">Flexible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276"/>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1524"/>
            <w:shd w:fill="FBFAF6" w:val="clear"/>
            <w:tcMar>
              <w:top w:type="dxa" w:w="50"/>
              <w:left w:type="dxa" w:w="110"/>
              <w:bottom w:type="dxa" w:w="50"/>
              <w:right w:type="dxa" w:w="110"/>
            </w:tcMar>
          </w:tcPr>
          <w:p>
            <w:pPr>
              <w:spacing w:before="28" w:after="28"/>
            </w:pPr>
            <w:r>
              <w:rPr>
                <w:sz w:val="15"/>
                <w:szCs w:val="15"/>
              </w:rPr>
              <w:t xml:space="preserve">Incremental analysis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Next four quarters 910,000 cases after the March update   ·   $350,000 a month + $11.80 a case   ·   Price +5%: contribution margin +$651,600 a year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The four quarters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total 900,000 cases, the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Fixed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agreed   ·   manufacturing   ·   December   ·   forward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13–16</w:t>
      </w:r>
    </w:p>
    <w:p>
      <w:pPr>
        <w:spacing w:before="20" w:after="20" w:line="360" w:lineRule="auto"/>
        <w:ind w:left="200"/>
      </w:pPr>
      <w:r>
        <w:rPr>
          <w:sz w:val="19"/>
          <w:szCs w:val="19"/>
        </w:rPr>
        <w:t xml:space="preserve">Expect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effect of a price, volume or cost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 contribution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change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$656,000 − $350,000 = $306,000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Next four quarters 910,000 cases after the March update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$350,000 a month + $11.80 a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+5%: contribution margin +$651,600 a year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flexible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793eb13b4c2f813194bec34495465d3e05f818.png" Type="http://schemas.openxmlformats.org/officeDocument/2006/relationships/image"/><Relationship Id="rId102" Target="media/2a4d1dfdc36116441367a5ba5baf4108e7d9678b.png" Type="http://schemas.openxmlformats.org/officeDocument/2006/relationships/image"/><Relationship Id="rId103" Target="media/fe197a341dd4c748f1602af220f1e9e17fb72e54.png" Type="http://schemas.openxmlformats.org/officeDocument/2006/relationships/image"/><Relationship Id="rId104" Target="media/c4844e44dfb4c99372aee3816da38801928ad51e.png" Type="http://schemas.openxmlformats.org/officeDocument/2006/relationships/image"/><Relationship Id="rId105" Target="media/7aebfc69ceb6bb6448e17cb22f8e919542d1633c.png" Type="http://schemas.openxmlformats.org/officeDocument/2006/relationships/image"/><Relationship Id="rId106" Target="media/541c2b418352b31dbd61272cd5570d4c8d478c21.png" Type="http://schemas.openxmlformats.org/officeDocument/2006/relationships/image"/><Relationship Id="rId107" Target="media/dc1ac6585f782b5658aede9be3f2dde9602dc4a9.png" Type="http://schemas.openxmlformats.org/officeDocument/2006/relationships/image"/><Relationship Id="rId108" Target="media/d888661856ecdd6eefb5f08c454d39e0c4959e3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5</dc:title>
  <dc:subject>Summary handouts</dc:subject>
  <cp:category>Student Book</cp:category>
</cp:coreProperties>
</file>