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8.1  The cost of goods sold budget</w:t>
            </w:r>
          </w:p>
          <w:p>
            <w:pPr>
              <w:spacing w:before="0" w:after="46"/>
            </w:pPr>
            <w:r>
              <w:rPr>
                <w:color w:val="E8EAF6"/>
                <w:sz w:val="16"/>
                <w:szCs w:val="16"/>
              </w:rPr>
              <w:t xml:space="preserve">Chapter 8 · section 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operating budget   ·   The cost of goods sold budget   ·   The selling and administrative expense budget</w:t>
            </w:r>
          </w:p>
        </w:tc>
      </w:tr>
    </w:tbl>
    <w:p/>
    <w:p>
      <w:pPr>
        <w:spacing w:before="44" w:after="14"/>
      </w:pPr>
      <w:r>
        <w:rPr>
          <w:b/>
          <w:bCs/>
          <w:color w:val="353A7C"/>
          <w:sz w:val="18"/>
          <w:szCs w:val="18"/>
        </w:rPr>
        <w:t xml:space="preserve">Summary 1</w:t>
      </w:r>
      <w:r>
        <w:rPr>
          <w:color w:val="6B7280"/>
          <w:sz w:val="16"/>
          <w:szCs w:val="16"/>
        </w:rPr>
        <w:t xml:space="preserve">      gaps 3–4</w:t>
      </w:r>
    </w:p>
    <w:p>
      <w:pPr>
        <w:spacing w:before="20" w:after="20" w:line="360" w:lineRule="auto"/>
        <w:ind w:left="200"/>
      </w:pPr>
      <w:r>
        <w:rPr>
          <w:sz w:val="19"/>
          <w:szCs w:val="19"/>
        </w:rPr>
        <w:t xml:space="preserve">The cost of goods sold budget has three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beginning finished goods, plus the cost of goods manufactured in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minus ending finished goods.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components   ·   period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cost of goods sold for 2028</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Beginning stock 42,000 cases × $12.60 = $529,200; plus cost of goods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$11,350,600; minus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stock 43,000 cases × $12.60 = $541,800.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ending   ·   overhead   ·   manufactured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921"/>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cost of goods sold budget for 2028</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Cost of goods sold budget 2028</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Basis</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USD</w:t>
            </w:r>
          </w:p>
        </w:tc>
      </w:tr>
      <w:tr>
        <w:tc>
          <w:tcPr>
            <w:tcW w:type="pct" w:w="2200"/>
            <w:tcMar>
              <w:top w:type="dxa" w:w="50"/>
              <w:left w:type="dxa" w:w="110"/>
              <w:bottom w:type="dxa" w:w="50"/>
              <w:right w:type="dxa" w:w="110"/>
            </w:tcMar>
          </w:tcPr>
          <w:p>
            <w:pPr>
              <w:spacing w:before="28" w:after="28"/>
            </w:pPr>
            <w:r>
              <w:rPr>
                <w:sz w:val="15"/>
                <w:szCs w:val="15"/>
              </w:rPr>
              <w:t xml:space="preserve">Beginning finished goods</w:t>
            </w:r>
          </w:p>
        </w:tc>
        <w:tc>
          <w:tcPr>
            <w:tcW w:type="pct" w:w="2042"/>
            <w:tcMar>
              <w:top w:type="dxa" w:w="50"/>
              <w:left w:type="dxa" w:w="110"/>
              <w:bottom w:type="dxa" w:w="50"/>
              <w:right w:type="dxa" w:w="110"/>
            </w:tcMar>
          </w:tcPr>
          <w:p>
            <w:pPr>
              <w:spacing w:before="28" w:after="28"/>
            </w:pPr>
            <w:r>
              <w:rPr>
                <w:sz w:val="15"/>
                <w:szCs w:val="15"/>
              </w:rPr>
              <w:t xml:space="preserve">42,000 cases × $12.60</w:t>
            </w:r>
          </w:p>
        </w:tc>
        <w:tc>
          <w:tcPr>
            <w:tcW w:type="pct" w:w="758"/>
            <w:tcMar>
              <w:top w:type="dxa" w:w="50"/>
              <w:left w:type="dxa" w:w="110"/>
              <w:bottom w:type="dxa" w:w="50"/>
              <w:right w:type="dxa" w:w="110"/>
            </w:tcMar>
          </w:tcPr>
          <w:p>
            <w:pPr>
              <w:spacing w:before="28" w:after="28"/>
            </w:pPr>
            <w:r>
              <w:rPr>
                <w:sz w:val="15"/>
                <w:szCs w:val="15"/>
              </w:rPr>
              <w:t xml:space="preserve">529,200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 Cost of goods manufactured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758"/>
            <w:shd w:fill="FBFAF6" w:val="clear"/>
            <w:tcMar>
              <w:top w:type="dxa" w:w="50"/>
              <w:left w:type="dxa" w:w="110"/>
              <w:bottom w:type="dxa" w:w="50"/>
              <w:right w:type="dxa" w:w="110"/>
            </w:tcMar>
          </w:tcPr>
          <w:p>
            <w:pPr>
              <w:spacing w:before="28" w:after="28"/>
            </w:pPr>
            <w:r>
              <w:rPr>
                <w:sz w:val="15"/>
                <w:szCs w:val="15"/>
              </w:rPr>
              <w:t xml:space="preserve">11,350,600</w:t>
            </w:r>
          </w:p>
        </w:tc>
      </w:tr>
      <w:tr>
        <w:tc>
          <w:tcPr>
            <w:tcW w:type="pct" w:w="2200"/>
            <w:tcMar>
              <w:top w:type="dxa" w:w="50"/>
              <w:left w:type="dxa" w:w="110"/>
              <w:bottom w:type="dxa" w:w="50"/>
              <w:right w:type="dxa" w:w="110"/>
            </w:tcMar>
          </w:tcPr>
          <w:p>
            <w:pPr>
              <w:spacing w:before="28" w:after="28"/>
            </w:pPr>
            <w:r>
              <w:rPr>
                <w:sz w:val="15"/>
                <w:szCs w:val="15"/>
              </w:rPr>
              <w:t xml:space="preserve">− Ending finished goods</w:t>
            </w:r>
          </w:p>
        </w:tc>
        <w:tc>
          <w:tcPr>
            <w:tcW w:type="pct" w:w="2042"/>
            <w:tcMar>
              <w:top w:type="dxa" w:w="50"/>
              <w:left w:type="dxa" w:w="110"/>
              <w:bottom w:type="dxa" w:w="50"/>
              <w:right w:type="dxa" w:w="110"/>
            </w:tcMar>
          </w:tcPr>
          <w:p>
            <w:pPr>
              <w:spacing w:before="28" w:after="28"/>
            </w:pPr>
            <w:r>
              <w:rPr>
                <w:sz w:val="15"/>
                <w:szCs w:val="15"/>
              </w:rPr>
              <w:t xml:space="preserve">43,000 cases × $12.60</w:t>
            </w:r>
          </w:p>
        </w:tc>
        <w:tc>
          <w:tcPr>
            <w:tcW w:type="pct" w:w="758"/>
            <w:tcMar>
              <w:top w:type="dxa" w:w="50"/>
              <w:left w:type="dxa" w:w="110"/>
              <w:bottom w:type="dxa" w:w="50"/>
              <w:right w:type="dxa" w:w="110"/>
            </w:tcMar>
          </w:tcPr>
          <w:p>
            <w:pPr>
              <w:spacing w:before="28" w:after="28"/>
            </w:pPr>
            <w:r>
              <w:rPr>
                <w:sz w:val="15"/>
                <w:szCs w:val="15"/>
              </w:rPr>
              <w:t xml:space="preserve">(541,800)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 Cost of goods sold</w:t>
            </w:r>
          </w:p>
        </w:tc>
        <w:tc>
          <w:tcPr>
            <w:tcW w:type="pct" w:w="2042"/>
            <w:shd w:fill="FBFAF6" w:val="clear"/>
            <w:tcMar>
              <w:top w:type="dxa" w:w="50"/>
              <w:left w:type="dxa" w:w="110"/>
              <w:bottom w:type="dxa" w:w="50"/>
              <w:right w:type="dxa" w:w="110"/>
            </w:tcMar>
          </w:tcPr>
          <w:p>
            <w:pPr>
              <w:spacing w:before="28" w:after="28"/>
            </w:pPr>
            <w:r>
              <w:rPr>
                <w:sz w:val="15"/>
                <w:szCs w:val="15"/>
              </w:rPr>
              <w:t xml:space="preserve"> </w:t>
            </w:r>
          </w:p>
        </w:tc>
        <w:tc>
          <w:tcPr>
            <w:tcW w:type="pct" w:w="758"/>
            <w:shd w:fill="FBFAF6" w:val="clear"/>
            <w:tcMar>
              <w:top w:type="dxa" w:w="50"/>
              <w:left w:type="dxa" w:w="110"/>
              <w:bottom w:type="dxa" w:w="50"/>
              <w:right w:type="dxa" w:w="110"/>
            </w:tcMar>
          </w:tcPr>
          <w:p>
            <w:pPr>
              <w:spacing w:before="28" w:after="28"/>
            </w:pPr>
            <w:r>
              <w:rPr>
                <w:sz w:val="15"/>
                <w:szCs w:val="15"/>
              </w:rPr>
              <w:t xml:space="preserve">11,338,000</w:t>
            </w:r>
          </w:p>
        </w:tc>
      </w:tr>
      <w:tr>
        <w:tc>
          <w:tcPr>
            <w:tcW w:type="pct" w:w="2200"/>
            <w:tcMar>
              <w:top w:type="dxa" w:w="50"/>
              <w:left w:type="dxa" w:w="110"/>
              <w:bottom w:type="dxa" w:w="50"/>
              <w:right w:type="dxa" w:w="110"/>
            </w:tcMar>
          </w:tcPr>
          <w:p>
            <w:pPr>
              <w:spacing w:before="28" w:after="28"/>
            </w:pPr>
            <w:r>
              <w:rPr>
                <w:sz w:val="15"/>
                <w:szCs w:val="15"/>
              </w:rPr>
              <w:t xml:space="preserve">Check: cases sold × standard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75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Less fixed overhead applied above budget</w:t>
            </w:r>
          </w:p>
        </w:tc>
        <w:tc>
          <w:tcPr>
            <w:tcW w:type="pct" w:w="2042"/>
            <w:shd w:fill="FBFAF6" w:val="clear"/>
            <w:tcMar>
              <w:top w:type="dxa" w:w="50"/>
              <w:left w:type="dxa" w:w="110"/>
              <w:bottom w:type="dxa" w:w="50"/>
              <w:right w:type="dxa" w:w="110"/>
            </w:tcMar>
          </w:tcPr>
          <w:p>
            <w:pPr>
              <w:spacing w:before="28" w:after="28"/>
            </w:pPr>
            <w:r>
              <w:rPr>
                <w:sz w:val="15"/>
                <w:szCs w:val="15"/>
              </w:rPr>
              <w:t xml:space="preserve">Chapter 7</w:t>
            </w:r>
          </w:p>
        </w:tc>
        <w:tc>
          <w:tcPr>
            <w:tcW w:type="pct" w:w="758"/>
            <w:shd w:fill="FBFAF6" w:val="clear"/>
            <w:tcMar>
              <w:top w:type="dxa" w:w="50"/>
              <w:left w:type="dxa" w:w="110"/>
              <w:bottom w:type="dxa" w:w="50"/>
              <w:right w:type="dxa" w:w="110"/>
            </w:tcMar>
          </w:tcPr>
          <w:p>
            <w:pPr>
              <w:spacing w:before="28" w:after="28"/>
            </w:pPr>
            <w:r>
              <w:rPr>
                <w:sz w:val="15"/>
                <w:szCs w:val="15"/>
              </w:rPr>
              <w:t xml:space="preserve">(2,000)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900,000 × $12.60 = 11,340,000   ·   43,000 cases × $12.60   ·   Chapter 7</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9–13</w:t>
      </w:r>
    </w:p>
    <w:p>
      <w:pPr>
        <w:spacing w:before="20" w:after="20" w:line="360" w:lineRule="auto"/>
        <w:ind w:left="200"/>
      </w:pPr>
      <w:r>
        <w:rPr>
          <w:sz w:val="19"/>
          <w:szCs w:val="19"/>
        </w:rPr>
        <w:t xml:space="preserve">The check line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result. </w:t>
      </w:r>
      <w:r>
        <w:rPr>
          <w:sz w:val="19"/>
          <w:szCs w:val="19"/>
        </w:rPr>
        <w:t xml:space="preserve">At standard, 900,000 cases sold × $12.60 = $11,340,000; the budget is $2,000 lower because fixed overhead applied to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slightly above the fixed overhead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For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budgets, cost of goods sold is simply the cases sold at standard, and the small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adjustment is made at the end of the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fixed-overhead   ·   budgeted   ·   production   ·   explains   ·   quarterly   ·   standard</w:t>
            </w:r>
          </w:p>
        </w:tc>
      </w:tr>
    </w:tbl>
    <w:p/>
    <w:p>
      <w:pPr>
        <w:spacing w:before="44" w:after="10"/>
      </w:pPr>
      <w:r>
        <w:rPr>
          <w:b/>
          <w:bCs/>
          <w:color w:val="353A7C"/>
          <w:sz w:val="18"/>
          <w:szCs w:val="18"/>
        </w:rPr>
        <w:t xml:space="preserve">Cost of goods sold by quarter</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$12.60 standard   ·   Cases sold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Manufactured is not sold</w:t>
            </w:r>
          </w:p>
        </w:tc>
      </w:tr>
    </w:tbl>
    <w:p/>
    <w:p>
      <w:pPr>
        <w:spacing w:before="44" w:after="14"/>
      </w:pPr>
      <w:r>
        <w:rPr>
          <w:b/>
          <w:bCs/>
          <w:color w:val="353A7C"/>
          <w:sz w:val="18"/>
          <w:szCs w:val="18"/>
        </w:rPr>
        <w:t xml:space="preserve">Summary 4</w:t>
      </w:r>
      <w:r>
        <w:rPr>
          <w:color w:val="6B7280"/>
          <w:sz w:val="16"/>
          <w:szCs w:val="16"/>
        </w:rPr>
        <w:t xml:space="preserve">      gaps 15–16</w:t>
      </w:r>
    </w:p>
    <w:p>
      <w:pPr>
        <w:spacing w:before="20" w:after="20" w:line="360" w:lineRule="auto"/>
        <w:ind w:left="200"/>
      </w:pPr>
      <w:r>
        <w:rPr>
          <w:sz w:val="19"/>
          <w:szCs w:val="19"/>
        </w:rPr>
        <w:t xml:space="preserve">Cost of goods manufactured is the cost of cases finished; cost of goods sold is the cost of cases sold. </w:t>
      </w:r>
      <w:r>
        <w:rPr>
          <w:sz w:val="19"/>
          <w:szCs w:val="19"/>
        </w:rPr>
        <w:t xml:space="preserve">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that uses one for the other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change in finished goods.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overhead   ·   ignores   ·   answer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9"/>
        <w:gridCol w:w="475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6"/>
            <w:tcMar>
              <w:top w:type="dxa" w:w="50"/>
              <w:left w:type="dxa" w:w="110"/>
              <w:bottom w:type="dxa" w:w="50"/>
              <w:right w:type="dxa" w:w="110"/>
            </w:tcMar>
          </w:tcPr>
          <w:p>
            <w:pPr>
              <w:spacing w:before="26" w:after="26"/>
            </w:pPr>
            <w:r>
              <w:rPr>
                <w:color w:val="232733"/>
                <w:sz w:val="16"/>
                <w:szCs w:val="16"/>
              </w:rPr>
              <w:t xml:space="preserve">cost of goods sold budget</w:t>
            </w:r>
          </w:p>
        </w:tc>
        <w:tc>
          <w:tcPr>
            <w:tcW w:type="pct" w:w="2474"/>
            <w:tcMar>
              <w:top w:type="dxa" w:w="50"/>
              <w:left w:type="dxa" w:w="110"/>
              <w:bottom w:type="dxa" w:w="50"/>
              <w:right w:type="dxa" w:w="110"/>
            </w:tcMar>
          </w:tcPr>
          <w:p>
            <w:pPr>
              <w:spacing w:before="26" w:after="26"/>
            </w:pPr>
            <w:r>
              <w:rPr>
                <w:color w:val="232733"/>
                <w:sz w:val="16"/>
                <w:szCs w:val="16"/>
              </w:rPr>
              <w:t xml:space="preserve">موازنة تكلفة البضاعة المباعة</w:t>
            </w:r>
          </w:p>
        </w:tc>
      </w:tr>
      <w:tr>
        <w:tc>
          <w:tcPr>
            <w:tcW w:type="pct" w:w="2526"/>
            <w:shd w:fill="FBFAF6" w:val="clear"/>
            <w:tcMar>
              <w:top w:type="dxa" w:w="50"/>
              <w:left w:type="dxa" w:w="110"/>
              <w:bottom w:type="dxa" w:w="50"/>
              <w:right w:type="dxa" w:w="110"/>
            </w:tcMar>
          </w:tcPr>
          <w:p>
            <w:pPr>
              <w:spacing w:before="26" w:after="26"/>
            </w:pPr>
            <w:r>
              <w:rPr>
                <w:color w:val="232733"/>
                <w:sz w:val="16"/>
                <w:szCs w:val="16"/>
              </w:rPr>
              <w:t xml:space="preserve">cost of goods manufactured</w:t>
            </w:r>
          </w:p>
        </w:tc>
        <w:tc>
          <w:tcPr>
            <w:tcW w:type="pct" w:w="2474"/>
            <w:shd w:fill="FBFAF6" w:val="clear"/>
            <w:tcMar>
              <w:top w:type="dxa" w:w="50"/>
              <w:left w:type="dxa" w:w="110"/>
              <w:bottom w:type="dxa" w:w="50"/>
              <w:right w:type="dxa" w:w="110"/>
            </w:tcMar>
          </w:tcPr>
          <w:p>
            <w:pPr>
              <w:spacing w:before="26" w:after="26"/>
            </w:pPr>
            <w:r>
              <w:rPr>
                <w:color w:val="232733"/>
                <w:sz w:val="16"/>
                <w:szCs w:val="16"/>
              </w:rPr>
              <w:t xml:space="preserve">تكلفة الإنتاج التام</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8.1  The cost of goods sold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cost of goods sold budget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explains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operating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budgeted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quarterly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manufactured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fixed-overhead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 $12.60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Chapter 7</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answer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900,000 × $12.60 = 11,340,000</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ignores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cost of goods sold budget has three components: beginning finished goods, plus the cost of goods manufactured in the period, minus ending finished goods.</w:t>
      </w:r>
    </w:p>
    <w:p>
      <w:pPr>
        <w:spacing w:before="20" w:after="20"/>
        <w:ind w:left="240" w:hanging="240"/>
      </w:pPr>
      <w:r>
        <w:rPr>
          <w:b/>
          <w:bCs/>
          <w:color w:val="353A7C"/>
          <w:sz w:val="15"/>
          <w:szCs w:val="15"/>
        </w:rPr>
        <w:t xml:space="preserve">Summary 2   </w:t>
      </w:r>
      <w:r>
        <w:rPr>
          <w:color w:val="6B7280"/>
          <w:sz w:val="15"/>
          <w:szCs w:val="15"/>
        </w:rPr>
        <w:t xml:space="preserve">Beginning stock 42,000 cases × $12.60 = $529,200; plus cost of goods manufactured $11,350,600; minus ending stock 43,000 cases × $12.60 = $541,800.</w:t>
      </w:r>
    </w:p>
    <w:p>
      <w:pPr>
        <w:spacing w:before="20" w:after="20"/>
        <w:ind w:left="240" w:hanging="240"/>
      </w:pPr>
      <w:r>
        <w:rPr>
          <w:b/>
          <w:bCs/>
          <w:color w:val="353A7C"/>
          <w:sz w:val="15"/>
          <w:szCs w:val="15"/>
        </w:rPr>
        <w:t xml:space="preserve">Summary 3   </w:t>
      </w:r>
      <w:r>
        <w:rPr>
          <w:color w:val="6B7280"/>
          <w:sz w:val="15"/>
          <w:szCs w:val="15"/>
        </w:rPr>
        <w:t xml:space="preserve">The check line explains the result. At standard, 900,000 cases sold × $12.60 = $11,340,000; the budget is $2,000 lower because fixed overhead applied to production is slightly above the fixed overhead budgeted. For quarterly budgets, cost of goods sold is simply the cases sold at standard, and the small fixed-overhead adjustment is made at the end of the year.</w:t>
      </w:r>
    </w:p>
    <w:p>
      <w:pPr>
        <w:spacing w:before="20" w:after="20"/>
        <w:ind w:left="240" w:hanging="240"/>
      </w:pPr>
      <w:r>
        <w:rPr>
          <w:b/>
          <w:bCs/>
          <w:color w:val="353A7C"/>
          <w:sz w:val="15"/>
          <w:szCs w:val="15"/>
        </w:rPr>
        <w:t xml:space="preserve">Summary 4   </w:t>
      </w:r>
      <w:r>
        <w:rPr>
          <w:color w:val="6B7280"/>
          <w:sz w:val="15"/>
          <w:szCs w:val="15"/>
        </w:rPr>
        <w:t xml:space="preserve">Cost of goods manufactured is the cost of cases finished; cost of goods sold is the cost of cases sold. An answer that uses one for the other ignores the change in finished goods.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8.2  The selling and administrative expense budget</w:t>
            </w:r>
          </w:p>
          <w:p>
            <w:pPr>
              <w:spacing w:before="0" w:after="46"/>
            </w:pPr>
            <w:r>
              <w:rPr>
                <w:color w:val="E8EAF6"/>
                <w:sz w:val="16"/>
                <w:szCs w:val="16"/>
              </w:rPr>
              <w:t xml:space="preserve">Chapter 8 · section 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selling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expense budget has two kinds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Variable selling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such as freight to customers and sales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change with cases sold. </w:t>
      </w:r>
      <w:r>
        <w:rPr>
          <w:sz w:val="19"/>
          <w:szCs w:val="19"/>
        </w:rPr>
        <w:t xml:space="preserve">Fixed costs, such as marketing, salaries,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depreciation of offices and vehicles, are budgeted item by item. </w:t>
      </w:r>
      <w:r>
        <w:rPr>
          <w:sz w:val="19"/>
          <w:szCs w:val="19"/>
        </w:rPr>
        <w:t xml:space="preserve">The variable rate of $1.20 a case and the fixed total of $2,400,000 are the figures used in the flexible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commissions   ·   expenses   ·   administration   ·   freight   ·   components   ·   administrative</w:t>
            </w:r>
          </w:p>
        </w:tc>
      </w:tr>
    </w:tbl>
    <w:p/>
    <w:p>
      <w:pPr>
        <w:spacing w:before="44" w:after="10"/>
      </w:pPr>
      <w:r>
        <w:rPr>
          <w:b/>
          <w:bCs/>
          <w:color w:val="353A7C"/>
          <w:sz w:val="18"/>
          <w:szCs w:val="18"/>
        </w:rPr>
        <w:t xml:space="preserve">Components of the selling and administrative expense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91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915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team salaries   ·   Variable selling expenses   ·   Marketing (Chapter 3)   ·   Fixed selling and administrative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Selling and admin in the third and fourth quarters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selling and admin by quarter (complete the blanks)</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6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648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contribution margin   ·   Cases sold</w:t>
            </w:r>
          </w:p>
        </w:tc>
      </w:tr>
    </w:tbl>
    <w:p/>
    <w:p>
      <w:pPr>
        <w:spacing w:before="44" w:after="14"/>
      </w:pPr>
      <w:r>
        <w:rPr>
          <w:b/>
          <w:bCs/>
          <w:color w:val="353A7C"/>
          <w:sz w:val="18"/>
          <w:szCs w:val="18"/>
        </w:rPr>
        <w:t xml:space="preserve">Summary 2</w:t>
      </w:r>
      <w:r>
        <w:rPr>
          <w:color w:val="6B7280"/>
          <w:sz w:val="16"/>
          <w:szCs w:val="16"/>
        </w:rPr>
        <w:t xml:space="preserve">      gaps 10–11</w:t>
      </w:r>
    </w:p>
    <w:p>
      <w:pPr>
        <w:spacing w:before="20" w:after="20" w:line="360" w:lineRule="auto"/>
        <w:ind w:left="200"/>
      </w:pPr>
      <w:r>
        <w:rPr>
          <w:sz w:val="19"/>
          <w:szCs w:val="19"/>
        </w:rPr>
        <w:t xml:space="preserve">Depreciation of offices and vehicles is shown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because it uses no cash, together with the depreciation in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overhead.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marketing   ·   manufacturing   ·   separately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selling and administrative expense budget</w:t>
            </w:r>
          </w:p>
        </w:tc>
        <w:tc>
          <w:tcPr>
            <w:tcW w:type="pct" w:w="2400"/>
            <w:tcMar>
              <w:top w:type="dxa" w:w="50"/>
              <w:left w:type="dxa" w:w="110"/>
              <w:bottom w:type="dxa" w:w="50"/>
              <w:right w:type="dxa" w:w="110"/>
            </w:tcMar>
          </w:tcPr>
          <w:p>
            <w:pPr>
              <w:spacing w:before="26" w:after="26"/>
            </w:pPr>
            <w:r>
              <w:rPr>
                <w:color w:val="232733"/>
                <w:sz w:val="16"/>
                <w:szCs w:val="16"/>
              </w:rPr>
              <w:t xml:space="preserve">موازنة المصروفات البيعية والإدارية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8.2  The selling and administrative expense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Sales team salaries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Fixed selling and 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Cases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commissions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administration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manufacturing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Variable selling expenses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selling and administrative expense budget has two kinds of components. Variable selling expenses, such as freight to customers and sales commissions, change with cases sold. Fixed costs, such as marketing, salaries, administration and depreciation of offices and vehicles, are budgeted item by item. The variable rate of $1.20 a case and the fixed total of $2,400,000 are the figures used in the flexible budget.</w:t>
      </w:r>
    </w:p>
    <w:p>
      <w:pPr>
        <w:spacing w:before="20" w:after="20"/>
        <w:ind w:left="240" w:hanging="240"/>
      </w:pPr>
      <w:r>
        <w:rPr>
          <w:b/>
          <w:bCs/>
          <w:color w:val="353A7C"/>
          <w:sz w:val="15"/>
          <w:szCs w:val="15"/>
        </w:rPr>
        <w:t xml:space="preserve">Summary 2   </w:t>
      </w:r>
      <w:r>
        <w:rPr>
          <w:color w:val="6B7280"/>
          <w:sz w:val="15"/>
          <w:szCs w:val="15"/>
        </w:rPr>
        <w:t xml:space="preserve">Depreciation of offices and vehicles is shown separately because it uses no cash, together with the depreciation in manufacturing overhead.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8.3  Selling costs and the contribution margin</w:t>
            </w:r>
          </w:p>
          <w:p>
            <w:pPr>
              <w:spacing w:before="0" w:after="46"/>
            </w:pPr>
            <w:r>
              <w:rPr>
                <w:color w:val="E8EAF6"/>
                <w:sz w:val="16"/>
                <w:szCs w:val="16"/>
              </w:rPr>
              <w:t xml:space="preserve">Chapter 8 · section 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Selling and administrative costs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contribution margin only if they are variable. </w:t>
      </w:r>
      <w:r>
        <w:rPr>
          <w:sz w:val="19"/>
          <w:szCs w:val="19"/>
        </w:rPr>
        <w:t xml:space="preserve">Freight and commissions are deducted before the contribution margin; marketing, salaries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are deducted after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administration   ·   affect   ·   depends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a commission plan</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The sales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proposes raising commissions by $0.30 a case and cutting sales salaries by $200,000,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20,000 extra cases. </w:t>
      </w:r>
      <w:r>
        <w:rPr>
          <w:sz w:val="19"/>
          <w:szCs w:val="19"/>
        </w:rPr>
        <w:t xml:space="preserve">The contribution margin per case falls to $7.90.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expecting   ·   proposes   ·   director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118"/>
        <w:gridCol w:w="325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effect of a commission plan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Commission proposal</w:t>
            </w:r>
          </w:p>
        </w:tc>
        <w:tc>
          <w:tcPr>
            <w:tcW w:type="pct" w:w="1103"/>
            <w:shd w:fill="353A7C" w:val="clear"/>
            <w:tcMar>
              <w:top w:type="dxa" w:w="50"/>
              <w:left w:type="dxa" w:w="110"/>
              <w:bottom w:type="dxa" w:w="50"/>
              <w:right w:type="dxa" w:w="110"/>
            </w:tcMar>
          </w:tcPr>
          <w:p>
            <w:pPr>
              <w:spacing w:before="30" w:after="30"/>
            </w:pPr>
            <w:r>
              <w:rPr>
                <w:b/>
                <w:bCs/>
                <w:color w:val="FFFFFF"/>
                <w:sz w:val="15"/>
                <w:szCs w:val="15"/>
              </w:rPr>
              <w:t xml:space="preserve">Now</w:t>
            </w:r>
          </w:p>
        </w:tc>
        <w:tc>
          <w:tcPr>
            <w:tcW w:type="pct" w:w="1697"/>
            <w:shd w:fill="353A7C" w:val="clear"/>
            <w:tcMar>
              <w:top w:type="dxa" w:w="50"/>
              <w:left w:type="dxa" w:w="110"/>
              <w:bottom w:type="dxa" w:w="50"/>
              <w:right w:type="dxa" w:w="110"/>
            </w:tcMar>
          </w:tcPr>
          <w:p>
            <w:pPr>
              <w:spacing w:before="30" w:after="30"/>
            </w:pPr>
            <w:r>
              <w:rPr>
                <w:b/>
                <w:bCs/>
                <w:color w:val="FFFFFF"/>
                <w:sz w:val="15"/>
                <w:szCs w:val="15"/>
              </w:rPr>
              <w:t xml:space="preserve">Commission +$0.30 a case</w:t>
            </w:r>
          </w:p>
        </w:tc>
      </w:tr>
      <w:tr>
        <w:tc>
          <w:tcPr>
            <w:tcW w:type="pct" w:w="2200"/>
            <w:tcMar>
              <w:top w:type="dxa" w:w="50"/>
              <w:left w:type="dxa" w:w="110"/>
              <w:bottom w:type="dxa" w:w="50"/>
              <w:right w:type="dxa" w:w="110"/>
            </w:tcMar>
          </w:tcPr>
          <w:p>
            <w:pPr>
              <w:spacing w:before="28" w:after="28"/>
            </w:pPr>
            <w:r>
              <w:rPr>
                <w:sz w:val="15"/>
                <w:szCs w:val="15"/>
              </w:rPr>
              <w:t xml:space="preserve">Contribution margin per case</w:t>
            </w:r>
          </w:p>
        </w:tc>
        <w:tc>
          <w:tcPr>
            <w:tcW w:type="pct" w:w="1103"/>
            <w:tcMar>
              <w:top w:type="dxa" w:w="50"/>
              <w:left w:type="dxa" w:w="110"/>
              <w:bottom w:type="dxa" w:w="50"/>
              <w:right w:type="dxa" w:w="110"/>
            </w:tcMar>
          </w:tcPr>
          <w:p>
            <w:pPr>
              <w:spacing w:before="28" w:after="28"/>
            </w:pPr>
            <w:r>
              <w:rPr>
                <w:sz w:val="15"/>
                <w:szCs w:val="15"/>
              </w:rPr>
              <w:t xml:space="preserve">$8.20</w:t>
            </w:r>
          </w:p>
        </w:tc>
        <w:tc>
          <w:tcPr>
            <w:tcW w:type="pct" w:w="1697"/>
            <w:tcMar>
              <w:top w:type="dxa" w:w="50"/>
              <w:left w:type="dxa" w:w="110"/>
              <w:bottom w:type="dxa" w:w="50"/>
              <w:right w:type="dxa" w:w="110"/>
            </w:tcMar>
          </w:tcPr>
          <w:p>
            <w:pPr>
              <w:spacing w:before="28" w:after="28"/>
            </w:pPr>
            <w:r>
              <w:rPr>
                <w:sz w:val="15"/>
                <w:szCs w:val="15"/>
              </w:rPr>
              <w:t xml:space="preserve">$7.90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Cases</w:t>
            </w:r>
          </w:p>
        </w:tc>
        <w:tc>
          <w:tcPr>
            <w:tcW w:type="pct" w:w="1103"/>
            <w:shd w:fill="FBFAF6" w:val="clear"/>
            <w:tcMar>
              <w:top w:type="dxa" w:w="50"/>
              <w:left w:type="dxa" w:w="110"/>
              <w:bottom w:type="dxa" w:w="50"/>
              <w:right w:type="dxa" w:w="110"/>
            </w:tcMar>
          </w:tcPr>
          <w:p>
            <w:pPr>
              <w:spacing w:before="28" w:after="28"/>
            </w:pPr>
            <w:r>
              <w:rPr>
                <w:sz w:val="15"/>
                <w:szCs w:val="15"/>
              </w:rPr>
              <w:t xml:space="preserve">900,000</w:t>
            </w:r>
          </w:p>
        </w:tc>
        <w:tc>
          <w:tcPr>
            <w:tcW w:type="pct" w:w="1697"/>
            <w:shd w:fill="FBFAF6" w:val="clear"/>
            <w:tcMar>
              <w:top w:type="dxa" w:w="50"/>
              <w:left w:type="dxa" w:w="110"/>
              <w:bottom w:type="dxa" w:w="50"/>
              <w:right w:type="dxa" w:w="110"/>
            </w:tcMar>
          </w:tcPr>
          <w:p>
            <w:pPr>
              <w:spacing w:before="28" w:after="28"/>
            </w:pPr>
            <w:r>
              <w:rPr>
                <w:sz w:val="15"/>
                <w:szCs w:val="15"/>
              </w:rPr>
              <w:t xml:space="preserve">920,000</w:t>
            </w:r>
          </w:p>
        </w:tc>
      </w:tr>
      <w:tr>
        <w:tc>
          <w:tcPr>
            <w:tcW w:type="pct" w:w="2200"/>
            <w:tcMar>
              <w:top w:type="dxa" w:w="50"/>
              <w:left w:type="dxa" w:w="110"/>
              <w:bottom w:type="dxa" w:w="50"/>
              <w:right w:type="dxa" w:w="110"/>
            </w:tcMar>
          </w:tcPr>
          <w:p>
            <w:pPr>
              <w:spacing w:before="28" w:after="28"/>
            </w:pPr>
            <w:r>
              <w:rPr>
                <w:sz w:val="15"/>
                <w:szCs w:val="15"/>
              </w:rPr>
              <w:t xml:space="preserve">Contribution margin</w:t>
            </w:r>
          </w:p>
        </w:tc>
        <w:tc>
          <w:tcPr>
            <w:tcW w:type="pct" w:w="1103"/>
            <w:tcMar>
              <w:top w:type="dxa" w:w="50"/>
              <w:left w:type="dxa" w:w="110"/>
              <w:bottom w:type="dxa" w:w="50"/>
              <w:right w:type="dxa" w:w="110"/>
            </w:tcMar>
          </w:tcPr>
          <w:p>
            <w:pPr>
              <w:spacing w:before="28" w:after="28"/>
            </w:pPr>
            <w:r>
              <w:rPr>
                <w:sz w:val="15"/>
                <w:szCs w:val="15"/>
              </w:rPr>
              <w:t xml:space="preserve">7,380,000</w:t>
            </w:r>
          </w:p>
        </w:tc>
        <w:tc>
          <w:tcPr>
            <w:tcW w:type="pct" w:w="1697"/>
            <w:tcMar>
              <w:top w:type="dxa" w:w="50"/>
              <w:left w:type="dxa" w:w="110"/>
              <w:bottom w:type="dxa" w:w="50"/>
              <w:right w:type="dxa" w:w="110"/>
            </w:tcMar>
          </w:tcPr>
          <w:p>
            <w:pPr>
              <w:spacing w:before="28" w:after="28"/>
            </w:pPr>
            <w:r>
              <w:rPr>
                <w:sz w:val="15"/>
                <w:szCs w:val="15"/>
              </w:rPr>
              <w:t xml:space="preserve">7,268,000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03"/>
            <w:shd w:fill="FBFAF6" w:val="clear"/>
            <w:tcMar>
              <w:top w:type="dxa" w:w="50"/>
              <w:left w:type="dxa" w:w="110"/>
              <w:bottom w:type="dxa" w:w="50"/>
              <w:right w:type="dxa" w:w="110"/>
            </w:tcMar>
          </w:tcPr>
          <w:p>
            <w:pPr>
              <w:spacing w:before="28" w:after="28"/>
            </w:pPr>
            <w:r>
              <w:rPr>
                <w:sz w:val="15"/>
                <w:szCs w:val="15"/>
              </w:rPr>
              <w:t xml:space="preserve"> </w:t>
            </w:r>
          </w:p>
        </w:tc>
        <w:tc>
          <w:tcPr>
            <w:tcW w:type="pct" w:w="1697"/>
            <w:shd w:fill="FBFAF6" w:val="clear"/>
            <w:tcMar>
              <w:top w:type="dxa" w:w="50"/>
              <w:left w:type="dxa" w:w="110"/>
              <w:bottom w:type="dxa" w:w="50"/>
              <w:right w:type="dxa" w:w="110"/>
            </w:tcMar>
          </w:tcPr>
          <w:p>
            <w:pPr>
              <w:spacing w:before="28" w:after="28"/>
            </w:pPr>
            <w:r>
              <w:rPr>
                <w:sz w:val="15"/>
                <w:szCs w:val="15"/>
              </w:rPr>
              <w:t xml:space="preserve">(112,000)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103"/>
            <w:tcMar>
              <w:top w:type="dxa" w:w="50"/>
              <w:left w:type="dxa" w:w="110"/>
              <w:bottom w:type="dxa" w:w="50"/>
              <w:right w:type="dxa" w:w="110"/>
            </w:tcMar>
          </w:tcPr>
          <w:p>
            <w:pPr>
              <w:spacing w:before="28" w:after="28"/>
            </w:pPr>
            <w:r>
              <w:rPr>
                <w:sz w:val="15"/>
                <w:szCs w:val="15"/>
              </w:rPr>
              <w:t xml:space="preserve"> </w:t>
            </w:r>
          </w:p>
        </w:tc>
        <w:tc>
          <w:tcPr>
            <w:tcW w:type="pct" w:w="1697"/>
            <w:tcMar>
              <w:top w:type="dxa" w:w="50"/>
              <w:left w:type="dxa" w:w="110"/>
              <w:bottom w:type="dxa" w:w="50"/>
              <w:right w:type="dxa" w:w="110"/>
            </w:tcMar>
          </w:tcPr>
          <w:p>
            <w:pPr>
              <w:spacing w:before="28" w:after="28"/>
            </w:pPr>
            <w:r>
              <w:rPr>
                <w:sz w:val="15"/>
                <w:szCs w:val="15"/>
              </w:rPr>
              <w:t xml:space="preserve">200,000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Change in operating income</w:t>
            </w:r>
          </w:p>
        </w:tc>
        <w:tc>
          <w:tcPr>
            <w:tcW w:type="pct" w:w="1103"/>
            <w:shd w:fill="FBFAF6" w:val="clear"/>
            <w:tcMar>
              <w:top w:type="dxa" w:w="50"/>
              <w:left w:type="dxa" w:w="110"/>
              <w:bottom w:type="dxa" w:w="50"/>
              <w:right w:type="dxa" w:w="110"/>
            </w:tcMar>
          </w:tcPr>
          <w:p>
            <w:pPr>
              <w:spacing w:before="28" w:after="28"/>
            </w:pPr>
            <w:r>
              <w:rPr>
                <w:sz w:val="15"/>
                <w:szCs w:val="15"/>
              </w:rPr>
              <w:t xml:space="preserve"> </w:t>
            </w:r>
          </w:p>
        </w:tc>
        <w:tc>
          <w:tcPr>
            <w:tcW w:type="pct" w:w="1697"/>
            <w:shd w:fill="FBFAF6" w:val="clear"/>
            <w:tcMar>
              <w:top w:type="dxa" w:w="50"/>
              <w:left w:type="dxa" w:w="110"/>
              <w:bottom w:type="dxa" w:w="50"/>
              <w:right w:type="dxa" w:w="110"/>
            </w:tcMar>
          </w:tcPr>
          <w:p>
            <w:pPr>
              <w:spacing w:before="28" w:after="28"/>
            </w:pPr>
            <w:r>
              <w:rPr>
                <w:sz w:val="15"/>
                <w:szCs w:val="15"/>
              </w:rPr>
              <w:t xml:space="preserve">88,000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 in contribution margin   ·   Contribution margin per case   ·   Saving in sales salaries</w:t>
            </w:r>
          </w:p>
        </w:tc>
      </w:tr>
    </w:tbl>
    <w:p/>
    <w:p>
      <w:pPr>
        <w:spacing w:before="44" w:after="14"/>
      </w:pPr>
      <w:r>
        <w:rPr>
          <w:b/>
          <w:bCs/>
          <w:color w:val="353A7C"/>
          <w:sz w:val="18"/>
          <w:szCs w:val="18"/>
        </w:rPr>
        <w:t xml:space="preserve">Summary 3</w:t>
      </w:r>
      <w:r>
        <w:rPr>
          <w:color w:val="6B7280"/>
          <w:sz w:val="16"/>
          <w:szCs w:val="16"/>
        </w:rPr>
        <w:t xml:space="preserve">      gaps 7–9</w:t>
      </w:r>
    </w:p>
    <w:p>
      <w:pPr>
        <w:spacing w:before="20" w:after="20" w:line="360" w:lineRule="auto"/>
        <w:ind w:left="200"/>
      </w:pPr>
      <w:r>
        <w:rPr>
          <w:sz w:val="19"/>
          <w:szCs w:val="19"/>
        </w:rPr>
        <w:t xml:space="preserve">The proposal turns a fixed cost into a variable one. </w:t>
      </w:r>
      <w:r>
        <w:rPr>
          <w:sz w:val="19"/>
          <w:szCs w:val="19"/>
        </w:rPr>
        <w:t xml:space="preserve">That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contribution margin per case and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risk, but it pays more when sales are high. </w:t>
      </w:r>
      <w:r>
        <w:rPr>
          <w:sz w:val="19"/>
          <w:szCs w:val="19"/>
        </w:rPr>
        <w:t xml:space="preserve">The decision depends on how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division is about the extra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confident   ·   break-even   ·   expecting   ·   lowers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costs go above the line?</w:t>
            </w:r>
          </w:p>
        </w:tc>
      </w:tr>
    </w:tbl>
    <w:p/>
    <w:p>
      <w:pPr>
        <w:spacing w:before="44" w:after="14"/>
      </w:pPr>
      <w:r>
        <w:rPr>
          <w:b/>
          <w:bCs/>
          <w:color w:val="353A7C"/>
          <w:sz w:val="18"/>
          <w:szCs w:val="18"/>
        </w:rPr>
        <w:t xml:space="preserve">Summary 4</w:t>
      </w:r>
      <w:r>
        <w:rPr>
          <w:color w:val="6B7280"/>
          <w:sz w:val="16"/>
          <w:szCs w:val="16"/>
        </w:rPr>
        <w:t xml:space="preserve">      gaps 10–11</w:t>
      </w:r>
    </w:p>
    <w:p>
      <w:pPr>
        <w:spacing w:before="20" w:after="20" w:line="360" w:lineRule="auto"/>
        <w:ind w:left="200"/>
      </w:pPr>
      <w:r>
        <w:rPr>
          <w:sz w:val="19"/>
          <w:szCs w:val="19"/>
        </w:rPr>
        <w:t xml:space="preserve">Variable selling costs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contribution margin; fixed selling and administrative costs do not.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marketing or salaries before the contribution margin, or leaving out freight and commissions, gives the wrong margin.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reduce   ·   raising   ·   Deducting</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8.3  Selling costs and the contribution margin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affect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lowers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administration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break-even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director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confident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expecting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reduce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Change in contribution margin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Deducting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Saving in sales salaries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Selling and administrative costs affect the contribution margin only if they are variable. Freight and commissions are deducted before the contribution margin; marketing, salaries and administration are deducted after it.</w:t>
      </w:r>
    </w:p>
    <w:p>
      <w:pPr>
        <w:spacing w:before="20" w:after="20"/>
        <w:ind w:left="240" w:hanging="240"/>
      </w:pPr>
      <w:r>
        <w:rPr>
          <w:b/>
          <w:bCs/>
          <w:color w:val="353A7C"/>
          <w:sz w:val="15"/>
          <w:szCs w:val="15"/>
        </w:rPr>
        <w:t xml:space="preserve">Summary 2   </w:t>
      </w:r>
      <w:r>
        <w:rPr>
          <w:color w:val="6B7280"/>
          <w:sz w:val="15"/>
          <w:szCs w:val="15"/>
        </w:rPr>
        <w:t xml:space="preserve">The sales director proposes raising commissions by $0.30 a case and cutting sales salaries by $200,000, expecting 20,000 extra cases. The contribution margin per case falls to $7.90.</w:t>
      </w:r>
    </w:p>
    <w:p>
      <w:pPr>
        <w:spacing w:before="20" w:after="20"/>
        <w:ind w:left="240" w:hanging="240"/>
      </w:pPr>
      <w:r>
        <w:rPr>
          <w:b/>
          <w:bCs/>
          <w:color w:val="353A7C"/>
          <w:sz w:val="15"/>
          <w:szCs w:val="15"/>
        </w:rPr>
        <w:t xml:space="preserve">Summary 3   </w:t>
      </w:r>
      <w:r>
        <w:rPr>
          <w:color w:val="6B7280"/>
          <w:sz w:val="15"/>
          <w:szCs w:val="15"/>
        </w:rPr>
        <w:t xml:space="preserve">The proposal turns a fixed cost into a variable one. That lowers the contribution margin per case and the break-even risk, but it pays more when sales are high. The decision depends on how confident the division is about the extra volume.</w:t>
      </w:r>
    </w:p>
    <w:p>
      <w:pPr>
        <w:spacing w:before="20" w:after="20"/>
        <w:ind w:left="240" w:hanging="240"/>
      </w:pPr>
      <w:r>
        <w:rPr>
          <w:b/>
          <w:bCs/>
          <w:color w:val="353A7C"/>
          <w:sz w:val="15"/>
          <w:szCs w:val="15"/>
        </w:rPr>
        <w:t xml:space="preserve">Summary 4   </w:t>
      </w:r>
      <w:r>
        <w:rPr>
          <w:color w:val="6B7280"/>
          <w:sz w:val="15"/>
          <w:szCs w:val="15"/>
        </w:rPr>
        <w:t xml:space="preserve">Variable selling costs reduce the contribution margin; fixed selling and administrative costs do not. Deducting marketing or salaries before the contribution margin, or leaving out freight and commissions, gives the wrong margin.</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8.4  The operating budget</w:t>
            </w:r>
          </w:p>
          <w:p>
            <w:pPr>
              <w:spacing w:before="0" w:after="46"/>
            </w:pPr>
            <w:r>
              <w:rPr>
                <w:color w:val="E8EAF6"/>
                <w:sz w:val="16"/>
                <w:szCs w:val="16"/>
              </w:rPr>
              <w:t xml:space="preserve">Chapter 8 · section 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operating budget, or budgeted income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brings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together: sales, minus cost of goods sold, minus selling and administrative expenses, gives budgeted operating income.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income taxes are added later.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expenses   ·   statement   ·   schedules   ·   Interest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Beverages operating budget</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Sales $18,000,000 − cost of goods sold $11,338,000 = gross margin $6,662,000; − selling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$3,480,000 =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income $3,182,000.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selling   ·   administrative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Beverages operating budget for 2028</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operating budget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400"/>
            <w:tcMar>
              <w:top w:type="dxa" w:w="50"/>
              <w:left w:type="dxa" w:w="110"/>
              <w:bottom w:type="dxa" w:w="50"/>
              <w:right w:type="dxa" w:w="110"/>
            </w:tcMar>
          </w:tcPr>
          <w:p>
            <w:pPr>
              <w:spacing w:before="28" w:after="28"/>
            </w:pPr>
            <w:r>
              <w:rPr>
                <w:sz w:val="15"/>
                <w:szCs w:val="15"/>
              </w:rPr>
              <w:t xml:space="preserve">18,000,000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Cost of goods sold</w:t>
            </w:r>
          </w:p>
        </w:tc>
        <w:tc>
          <w:tcPr>
            <w:tcW w:type="pct" w:w="2400"/>
            <w:shd w:fill="FBFAF6" w:val="clear"/>
            <w:tcMar>
              <w:top w:type="dxa" w:w="50"/>
              <w:left w:type="dxa" w:w="110"/>
              <w:bottom w:type="dxa" w:w="50"/>
              <w:right w:type="dxa" w:w="110"/>
            </w:tcMar>
          </w:tcPr>
          <w:p>
            <w:pPr>
              <w:spacing w:before="28" w:after="28"/>
            </w:pPr>
            <w:r>
              <w:rPr>
                <w:sz w:val="15"/>
                <w:szCs w:val="15"/>
              </w:rPr>
              <w:t xml:space="preserve">(11,338,000)</w:t>
            </w:r>
          </w:p>
        </w:tc>
      </w:tr>
      <w:tr>
        <w:tc>
          <w:tcPr>
            <w:tcW w:type="pct" w:w="2600"/>
            <w:tcMar>
              <w:top w:type="dxa" w:w="50"/>
              <w:left w:type="dxa" w:w="110"/>
              <w:bottom w:type="dxa" w:w="50"/>
              <w:right w:type="dxa" w:w="110"/>
            </w:tcMar>
          </w:tcPr>
          <w:p>
            <w:pPr>
              <w:spacing w:before="28" w:after="28"/>
            </w:pPr>
            <w:r>
              <w:rPr>
                <w:sz w:val="15"/>
                <w:szCs w:val="15"/>
              </w:rPr>
              <w:t xml:space="preserve">= Gross margin</w:t>
            </w:r>
          </w:p>
        </w:tc>
        <w:tc>
          <w:tcPr>
            <w:tcW w:type="pct" w:w="2400"/>
            <w:tcMar>
              <w:top w:type="dxa" w:w="50"/>
              <w:left w:type="dxa" w:w="110"/>
              <w:bottom w:type="dxa" w:w="50"/>
              <w:right w:type="dxa" w:w="110"/>
            </w:tcMar>
          </w:tcPr>
          <w:p>
            <w:pPr>
              <w:spacing w:before="28" w:after="28"/>
            </w:pPr>
            <w:r>
              <w:rPr>
                <w:sz w:val="15"/>
                <w:szCs w:val="15"/>
              </w:rPr>
              <w:t xml:space="preserve">6,662,000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400"/>
            <w:shd w:fill="FBFAF6" w:val="clear"/>
            <w:tcMar>
              <w:top w:type="dxa" w:w="50"/>
              <w:left w:type="dxa" w:w="110"/>
              <w:bottom w:type="dxa" w:w="50"/>
              <w:right w:type="dxa" w:w="110"/>
            </w:tcMar>
          </w:tcPr>
          <w:p>
            <w:pPr>
              <w:spacing w:before="28" w:after="28"/>
            </w:pPr>
            <w:r>
              <w:rPr>
                <w:sz w:val="15"/>
                <w:szCs w:val="15"/>
              </w:rPr>
              <w:t xml:space="preserve">(1,080,000)</w:t>
            </w:r>
          </w:p>
        </w:tc>
      </w:tr>
      <w:tr>
        <w:tc>
          <w:tcPr>
            <w:tcW w:type="pct" w:w="2600"/>
            <w:tcMar>
              <w:top w:type="dxa" w:w="50"/>
              <w:left w:type="dxa" w:w="110"/>
              <w:bottom w:type="dxa" w:w="50"/>
              <w:right w:type="dxa" w:w="110"/>
            </w:tcMar>
          </w:tcPr>
          <w:p>
            <w:pPr>
              <w:spacing w:before="28" w:after="28"/>
            </w:pPr>
            <w:r>
              <w:rPr>
                <w:sz w:val="15"/>
                <w:szCs w:val="15"/>
              </w:rPr>
              <w:t xml:space="preserve">− Fixed selling and administrative</w:t>
            </w:r>
          </w:p>
        </w:tc>
        <w:tc>
          <w:tcPr>
            <w:tcW w:type="pct" w:w="2400"/>
            <w:tcMar>
              <w:top w:type="dxa" w:w="50"/>
              <w:left w:type="dxa" w:w="110"/>
              <w:bottom w:type="dxa" w:w="50"/>
              <w:right w:type="dxa" w:w="110"/>
            </w:tcMar>
          </w:tcPr>
          <w:p>
            <w:pPr>
              <w:spacing w:before="28" w:after="28"/>
            </w:pPr>
            <w:r>
              <w:rPr>
                <w:sz w:val="15"/>
                <w:szCs w:val="15"/>
              </w:rPr>
              <w:t xml:space="preserve">(2,400,000)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shd w:fill="FBFAF6" w:val="clear"/>
            <w:tcMar>
              <w:top w:type="dxa" w:w="50"/>
              <w:left w:type="dxa" w:w="110"/>
              <w:bottom w:type="dxa" w:w="50"/>
              <w:right w:type="dxa" w:w="110"/>
            </w:tcMar>
          </w:tcPr>
          <w:p>
            <w:pPr>
              <w:spacing w:before="28" w:after="28"/>
            </w:pPr>
            <w:r>
              <w:rPr>
                <w:sz w:val="15"/>
                <w:szCs w:val="15"/>
              </w:rPr>
              <w:t xml:space="preserve">3,182,000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administrative   ·   − Variable selling expenses   ·   = Operating income   ·   Sales</w:t>
            </w:r>
          </w:p>
        </w:tc>
      </w:tr>
    </w:tbl>
    <w:p/>
    <w:p>
      <w:pPr>
        <w:spacing w:before="20" w:after="20" w:line="360" w:lineRule="auto"/>
        <w:ind w:left="200"/>
      </w:pPr>
      <w:r>
        <w:rPr>
          <w:sz w:val="19"/>
          <w:szCs w:val="19"/>
        </w:rPr>
        <w:t xml:space="preserve">In contribution format, the same year gives $3,180,000, the flexible budget.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Reconciling the contribution and functional formats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Reconciling the two formats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900,000 cases × $8.20</w:t>
            </w:r>
          </w:p>
        </w:tc>
        <w:tc>
          <w:tcPr>
            <w:tcW w:type="pct" w:w="2400"/>
            <w:tcMar>
              <w:top w:type="dxa" w:w="50"/>
              <w:left w:type="dxa" w:w="110"/>
              <w:bottom w:type="dxa" w:w="50"/>
              <w:right w:type="dxa" w:w="110"/>
            </w:tcMar>
          </w:tcPr>
          <w:p>
            <w:pPr>
              <w:spacing w:before="28" w:after="28"/>
            </w:pPr>
            <w:r>
              <w:rPr>
                <w:sz w:val="15"/>
                <w:szCs w:val="15"/>
              </w:rPr>
              <w:t xml:space="preserve">7,380,000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shd w:fill="FBFAF6" w:val="clear"/>
            <w:tcMar>
              <w:top w:type="dxa" w:w="50"/>
              <w:left w:type="dxa" w:w="110"/>
              <w:bottom w:type="dxa" w:w="50"/>
              <w:right w:type="dxa" w:w="110"/>
            </w:tcMar>
          </w:tcPr>
          <w:p>
            <w:pPr>
              <w:spacing w:before="28" w:after="28"/>
            </w:pPr>
            <w:r>
              <w:rPr>
                <w:sz w:val="15"/>
                <w:szCs w:val="15"/>
              </w:rPr>
              <w:t xml:space="preserve">(4,200,000)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3,180,000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Fixed overhead held in the rise in stock</w:t>
            </w:r>
          </w:p>
        </w:tc>
        <w:tc>
          <w:tcPr>
            <w:tcW w:type="pct" w:w="2400"/>
            <w:shd w:fill="FBFAF6" w:val="clear"/>
            <w:tcMar>
              <w:top w:type="dxa" w:w="50"/>
              <w:left w:type="dxa" w:w="110"/>
              <w:bottom w:type="dxa" w:w="50"/>
              <w:right w:type="dxa" w:w="110"/>
            </w:tcMar>
          </w:tcPr>
          <w:p>
            <w:pPr>
              <w:spacing w:before="28" w:after="28"/>
            </w:pPr>
            <w:r>
              <w:rPr>
                <w:sz w:val="15"/>
                <w:szCs w:val="15"/>
              </w:rPr>
              <w:t xml:space="preserve">2,000</w:t>
            </w:r>
          </w:p>
        </w:tc>
      </w:tr>
      <w:tr>
        <w:tc>
          <w:tcPr>
            <w:tcW w:type="pct" w:w="2600"/>
            <w:tcMar>
              <w:top w:type="dxa" w:w="50"/>
              <w:left w:type="dxa" w:w="110"/>
              <w:bottom w:type="dxa" w:w="50"/>
              <w:right w:type="dxa" w:w="110"/>
            </w:tcMar>
          </w:tcPr>
          <w:p>
            <w:pPr>
              <w:spacing w:before="28" w:after="28"/>
            </w:pPr>
            <w:r>
              <w:rPr>
                <w:sz w:val="15"/>
                <w:szCs w:val="15"/>
              </w:rPr>
              <w:t xml:space="preserve">= Operating income, functional format</w:t>
            </w:r>
          </w:p>
        </w:tc>
        <w:tc>
          <w:tcPr>
            <w:tcW w:type="pct" w:w="2400"/>
            <w:tcMar>
              <w:top w:type="dxa" w:w="50"/>
              <w:left w:type="dxa" w:w="110"/>
              <w:bottom w:type="dxa" w:w="50"/>
              <w:right w:type="dxa" w:w="110"/>
            </w:tcMar>
          </w:tcPr>
          <w:p>
            <w:pPr>
              <w:spacing w:before="28" w:after="28"/>
            </w:pPr>
            <w:r>
              <w:rPr>
                <w:sz w:val="15"/>
                <w:szCs w:val="15"/>
              </w:rPr>
              <w:t xml:space="preserve">3,182,000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Fixed costs: 12 × $350,000   ·   cost of goods manufactured   ·   = Operating income, contribution format   ·   Contribution margin</w:t>
            </w:r>
          </w:p>
        </w:tc>
      </w:tr>
    </w:tbl>
    <w:p/>
    <w:p>
      <w:pPr>
        <w:spacing w:before="20" w:after="20" w:line="360" w:lineRule="auto"/>
        <w:ind w:left="200"/>
      </w:pPr>
      <w:r>
        <w:rPr>
          <w:sz w:val="19"/>
          <w:szCs w:val="19"/>
        </w:rPr>
        <w:t xml:space="preserve">The division plans to keep about one dollar in six of sales as operating income.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budget (budgeted income statement)</w:t>
            </w:r>
          </w:p>
        </w:tc>
        <w:tc>
          <w:tcPr>
            <w:tcW w:type="pct" w:w="2400"/>
            <w:tcMar>
              <w:top w:type="dxa" w:w="50"/>
              <w:left w:type="dxa" w:w="110"/>
              <w:bottom w:type="dxa" w:w="50"/>
              <w:right w:type="dxa" w:w="110"/>
            </w:tcMar>
          </w:tcPr>
          <w:p>
            <w:pPr>
              <w:spacing w:before="26" w:after="26"/>
            </w:pPr>
            <w:r>
              <w:rPr>
                <w:color w:val="232733"/>
                <w:sz w:val="16"/>
                <w:szCs w:val="16"/>
              </w:rPr>
              <w:t xml:space="preserve">الموازنة التشغيلية (قائمة الدخل التقديرية)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contribution margin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هامش المساهمة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8.4  The operating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 Variable selling 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 Operating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Interest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 Fixed costs: 12 × $350,000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 Operating income, contribution format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Sales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operating budget, or budgeted income statement, brings the schedules together: sales, minus cost of goods sold, minus selling and administrative expenses, gives budgeted operating income. Interest and income taxes are added later.</w:t>
      </w:r>
    </w:p>
    <w:p>
      <w:pPr>
        <w:spacing w:before="20" w:after="20"/>
        <w:ind w:left="240" w:hanging="240"/>
      </w:pPr>
      <w:r>
        <w:rPr>
          <w:b/>
          <w:bCs/>
          <w:color w:val="353A7C"/>
          <w:sz w:val="15"/>
          <w:szCs w:val="15"/>
        </w:rPr>
        <w:t xml:space="preserve">Summary 2   </w:t>
      </w:r>
      <w:r>
        <w:rPr>
          <w:color w:val="6B7280"/>
          <w:sz w:val="15"/>
          <w:szCs w:val="15"/>
        </w:rPr>
        <w:t xml:space="preserve">Sales $18,000,000 − cost of goods sold $11,338,000 = gross margin $6,662,000; − selling and administrative $3,480,000 = operating income $3,182,000.</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8.5  Extended Example 8A: the quarterly operating budget for the board</w:t>
            </w:r>
          </w:p>
          <w:p>
            <w:pPr>
              <w:spacing w:before="0" w:after="46"/>
            </w:pPr>
            <w:r>
              <w:rPr>
                <w:color w:val="E8EAF6"/>
                <w:sz w:val="16"/>
                <w:szCs w:val="16"/>
              </w:rPr>
              <w:t xml:space="preserve">Chapter 8 · section 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board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results every quarter, so it wants the operating budget by quarter. </w:t>
      </w:r>
      <w:r>
        <w:rPr>
          <w:sz w:val="19"/>
          <w:szCs w:val="19"/>
        </w:rPr>
        <w:t xml:space="preserve">This example builds it from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year column includes the year-end fixed-overhead adjustment.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quarter's   ·   reviews   ·   schedules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54"/>
        <w:gridCol w:w="1456"/>
        <w:gridCol w:w="1456"/>
        <w:gridCol w:w="1456"/>
        <w:gridCol w:w="1456"/>
        <w:gridCol w:w="1621"/>
      </w:tblGrid>
      <w:tr>
        <w:tc>
          <w:tcPr>
            <w:tcW w:type="pct" w:w="5000"/>
            <w:gridSpan w:val="6"/>
            <w:shd w:fill="353A7C" w:val="clear"/>
            <w:tcMar>
              <w:top w:type="dxa" w:w="60"/>
              <w:left w:type="dxa" w:w="120"/>
              <w:bottom w:type="dxa" w:w="60"/>
              <w:right w:type="dxa" w:w="120"/>
            </w:tcMar>
          </w:tcPr>
          <w:p>
            <w:pPr>
              <w:spacing w:before="40" w:after="40"/>
            </w:pPr>
            <w:r>
              <w:rPr>
                <w:b/>
                <w:bCs/>
                <w:color w:val="FFFFFF"/>
                <w:sz w:val="17"/>
                <w:szCs w:val="17"/>
              </w:rPr>
              <w:t xml:space="preserve">Extended Example: the quarterly operating budget</w:t>
            </w:r>
          </w:p>
        </w:tc>
      </w:tr>
      <w:tr>
        <w:tc>
          <w:tcPr>
            <w:tcW w:type="pct" w:w="1122"/>
            <w:shd w:fill="353A7C" w:val="clear"/>
            <w:tcMar>
              <w:top w:type="dxa" w:w="50"/>
              <w:left w:type="dxa" w:w="110"/>
              <w:bottom w:type="dxa" w:w="50"/>
              <w:right w:type="dxa" w:w="110"/>
            </w:tcMar>
          </w:tcPr>
          <w:p>
            <w:pPr>
              <w:spacing w:before="30" w:after="30"/>
            </w:pPr>
            <w:r>
              <w:rPr>
                <w:b/>
                <w:bCs/>
                <w:color w:val="FFFFFF"/>
                <w:sz w:val="15"/>
                <w:szCs w:val="15"/>
              </w:rPr>
              <w:t xml:space="preserve">Beverages 2028 (USD)</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Q1</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Q2</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Q3</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Q4</w:t>
            </w:r>
          </w:p>
        </w:tc>
        <w:tc>
          <w:tcPr>
            <w:tcW w:type="pct" w:w="844"/>
            <w:shd w:fill="353A7C" w:val="clear"/>
            <w:tcMar>
              <w:top w:type="dxa" w:w="50"/>
              <w:left w:type="dxa" w:w="110"/>
              <w:bottom w:type="dxa" w:w="50"/>
              <w:right w:type="dxa" w:w="110"/>
            </w:tcMar>
          </w:tcPr>
          <w:p>
            <w:pPr>
              <w:spacing w:before="30" w:after="30"/>
            </w:pPr>
            <w:r>
              <w:rPr>
                <w:b/>
                <w:bCs/>
                <w:color w:val="FFFFFF"/>
                <w:sz w:val="15"/>
                <w:szCs w:val="15"/>
              </w:rPr>
              <w:t xml:space="preserve">Year</w:t>
            </w:r>
          </w:p>
        </w:tc>
      </w:tr>
      <w:tr>
        <w:tc>
          <w:tcPr>
            <w:tcW w:type="pct" w:w="1122"/>
            <w:tcMar>
              <w:top w:type="dxa" w:w="50"/>
              <w:left w:type="dxa" w:w="110"/>
              <w:bottom w:type="dxa" w:w="50"/>
              <w:right w:type="dxa" w:w="110"/>
            </w:tcMar>
          </w:tcPr>
          <w:p>
            <w:pPr>
              <w:spacing w:before="28" w:after="28"/>
            </w:pPr>
            <w:r>
              <w:rPr>
                <w:sz w:val="15"/>
                <w:szCs w:val="15"/>
              </w:rPr>
              <w:t xml:space="preserve">Sales</w:t>
            </w:r>
          </w:p>
        </w:tc>
        <w:tc>
          <w:tcPr>
            <w:tcW w:type="pct" w:w="758"/>
            <w:tcMar>
              <w:top w:type="dxa" w:w="50"/>
              <w:left w:type="dxa" w:w="110"/>
              <w:bottom w:type="dxa" w:w="50"/>
              <w:right w:type="dxa" w:w="110"/>
            </w:tcMar>
          </w:tcPr>
          <w:p>
            <w:pPr>
              <w:spacing w:before="28" w:after="28"/>
            </w:pPr>
            <w:r>
              <w:rPr>
                <w:sz w:val="15"/>
                <w:szCs w:val="15"/>
              </w:rPr>
              <w:t xml:space="preserve">4,200,000</w:t>
            </w:r>
          </w:p>
        </w:tc>
        <w:tc>
          <w:tcPr>
            <w:tcW w:type="pct" w:w="758"/>
            <w:tcMar>
              <w:top w:type="dxa" w:w="50"/>
              <w:left w:type="dxa" w:w="110"/>
              <w:bottom w:type="dxa" w:w="50"/>
              <w:right w:type="dxa" w:w="110"/>
            </w:tcMar>
          </w:tcPr>
          <w:p>
            <w:pPr>
              <w:spacing w:before="28" w:after="28"/>
            </w:pPr>
            <w:r>
              <w:rPr>
                <w:sz w:val="15"/>
                <w:szCs w:val="15"/>
              </w:rPr>
              <w:t xml:space="preserve">4,500,000</w:t>
            </w:r>
          </w:p>
        </w:tc>
        <w:tc>
          <w:tcPr>
            <w:tcW w:type="pct" w:w="758"/>
            <w:tcMar>
              <w:top w:type="dxa" w:w="50"/>
              <w:left w:type="dxa" w:w="110"/>
              <w:bottom w:type="dxa" w:w="50"/>
              <w:right w:type="dxa" w:w="110"/>
            </w:tcMar>
          </w:tcPr>
          <w:p>
            <w:pPr>
              <w:spacing w:before="28" w:after="28"/>
            </w:pPr>
            <w:r>
              <w:rPr>
                <w:sz w:val="15"/>
                <w:szCs w:val="15"/>
              </w:rPr>
              <w:t xml:space="preserve">4,800,000</w:t>
            </w:r>
          </w:p>
        </w:tc>
        <w:tc>
          <w:tcPr>
            <w:tcW w:type="pct" w:w="758"/>
            <w:tcMar>
              <w:top w:type="dxa" w:w="50"/>
              <w:left w:type="dxa" w:w="110"/>
              <w:bottom w:type="dxa" w:w="50"/>
              <w:right w:type="dxa" w:w="110"/>
            </w:tcMar>
          </w:tcPr>
          <w:p>
            <w:pPr>
              <w:spacing w:before="28" w:after="28"/>
            </w:pPr>
            <w:r>
              <w:rPr>
                <w:sz w:val="15"/>
                <w:szCs w:val="15"/>
              </w:rPr>
              <w:t xml:space="preserve">4,500,000</w:t>
            </w:r>
          </w:p>
        </w:tc>
        <w:tc>
          <w:tcPr>
            <w:tcW w:type="pct" w:w="844"/>
            <w:tcMar>
              <w:top w:type="dxa" w:w="50"/>
              <w:left w:type="dxa" w:w="110"/>
              <w:bottom w:type="dxa" w:w="50"/>
              <w:right w:type="dxa" w:w="110"/>
            </w:tcMar>
          </w:tcPr>
          <w:p>
            <w:pPr>
              <w:spacing w:before="28" w:after="28"/>
            </w:pPr>
            <w:r>
              <w:rPr>
                <w:sz w:val="15"/>
                <w:szCs w:val="15"/>
              </w:rPr>
              <w:t xml:space="preserve">18,000,000</w:t>
            </w:r>
          </w:p>
        </w:tc>
      </w:tr>
      <w:tr>
        <w:tc>
          <w:tcPr>
            <w:tcW w:type="pct" w:w="1122"/>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758"/>
            <w:shd w:fill="FBFAF6" w:val="clear"/>
            <w:tcMar>
              <w:top w:type="dxa" w:w="50"/>
              <w:left w:type="dxa" w:w="110"/>
              <w:bottom w:type="dxa" w:w="50"/>
              <w:right w:type="dxa" w:w="110"/>
            </w:tcMar>
          </w:tcPr>
          <w:p>
            <w:pPr>
              <w:spacing w:before="28" w:after="28"/>
            </w:pPr>
            <w:r>
              <w:rPr>
                <w:sz w:val="15"/>
                <w:szCs w:val="15"/>
              </w:rPr>
              <w:t xml:space="preserve">(2,646,000)</w:t>
            </w:r>
          </w:p>
        </w:tc>
        <w:tc>
          <w:tcPr>
            <w:tcW w:type="pct" w:w="758"/>
            <w:shd w:fill="FBFAF6" w:val="clear"/>
            <w:tcMar>
              <w:top w:type="dxa" w:w="50"/>
              <w:left w:type="dxa" w:w="110"/>
              <w:bottom w:type="dxa" w:w="50"/>
              <w:right w:type="dxa" w:w="110"/>
            </w:tcMar>
          </w:tcPr>
          <w:p>
            <w:pPr>
              <w:spacing w:before="28" w:after="28"/>
            </w:pPr>
            <w:r>
              <w:rPr>
                <w:sz w:val="15"/>
                <w:szCs w:val="15"/>
              </w:rPr>
              <w:t xml:space="preserve">(2,835,000)</w:t>
            </w:r>
          </w:p>
        </w:tc>
        <w:tc>
          <w:tcPr>
            <w:tcW w:type="pct" w:w="758"/>
            <w:shd w:fill="FBFAF6" w:val="clear"/>
            <w:tcMar>
              <w:top w:type="dxa" w:w="50"/>
              <w:left w:type="dxa" w:w="110"/>
              <w:bottom w:type="dxa" w:w="50"/>
              <w:right w:type="dxa" w:w="110"/>
            </w:tcMar>
          </w:tcPr>
          <w:p>
            <w:pPr>
              <w:spacing w:before="28" w:after="28"/>
            </w:pPr>
            <w:r>
              <w:rPr>
                <w:sz w:val="15"/>
                <w:szCs w:val="15"/>
              </w:rPr>
              <w:t xml:space="preserve">(3,024,000)</w:t>
            </w:r>
          </w:p>
        </w:tc>
        <w:tc>
          <w:tcPr>
            <w:tcW w:type="pct" w:w="758"/>
            <w:shd w:fill="FBFAF6" w:val="clear"/>
            <w:tcMar>
              <w:top w:type="dxa" w:w="50"/>
              <w:left w:type="dxa" w:w="110"/>
              <w:bottom w:type="dxa" w:w="50"/>
              <w:right w:type="dxa" w:w="110"/>
            </w:tcMar>
          </w:tcPr>
          <w:p>
            <w:pPr>
              <w:spacing w:before="28" w:after="28"/>
            </w:pPr>
            <w:r>
              <w:rPr>
                <w:sz w:val="15"/>
                <w:szCs w:val="15"/>
              </w:rPr>
              <w:t xml:space="preserve">(2,835,000)</w:t>
            </w:r>
          </w:p>
        </w:tc>
        <w:tc>
          <w:tcPr>
            <w:tcW w:type="pct" w:w="844"/>
            <w:shd w:fill="FBFAF6" w:val="clear"/>
            <w:tcMar>
              <w:top w:type="dxa" w:w="50"/>
              <w:left w:type="dxa" w:w="110"/>
              <w:bottom w:type="dxa" w:w="50"/>
              <w:right w:type="dxa" w:w="110"/>
            </w:tcMar>
          </w:tcPr>
          <w:p>
            <w:pPr>
              <w:spacing w:before="28" w:after="28"/>
            </w:pPr>
            <w:r>
              <w:rPr>
                <w:sz w:val="15"/>
                <w:szCs w:val="15"/>
              </w:rPr>
              <w:t xml:space="preserve">(11,338,000)</w:t>
            </w:r>
          </w:p>
        </w:tc>
      </w:tr>
      <w:tr>
        <w:tc>
          <w:tcPr>
            <w:tcW w:type="pct" w:w="1122"/>
            <w:tcMar>
              <w:top w:type="dxa" w:w="50"/>
              <w:left w:type="dxa" w:w="110"/>
              <w:bottom w:type="dxa" w:w="50"/>
              <w:right w:type="dxa" w:w="110"/>
            </w:tcMar>
          </w:tcPr>
          <w:p>
            <w:pPr>
              <w:spacing w:before="28" w:after="28"/>
            </w:pPr>
            <w:r>
              <w:rPr>
                <w:sz w:val="15"/>
                <w:szCs w:val="15"/>
              </w:rPr>
              <w:t xml:space="preserve">= Gross margin</w:t>
            </w:r>
          </w:p>
        </w:tc>
        <w:tc>
          <w:tcPr>
            <w:tcW w:type="pct" w:w="758"/>
            <w:tcMar>
              <w:top w:type="dxa" w:w="50"/>
              <w:left w:type="dxa" w:w="110"/>
              <w:bottom w:type="dxa" w:w="50"/>
              <w:right w:type="dxa" w:w="110"/>
            </w:tcMar>
          </w:tcPr>
          <w:p>
            <w:pPr>
              <w:spacing w:before="28" w:after="28"/>
            </w:pPr>
            <w:r>
              <w:rPr>
                <w:sz w:val="15"/>
                <w:szCs w:val="15"/>
              </w:rPr>
              <w:t xml:space="preserve">1,554,000</w:t>
            </w:r>
          </w:p>
        </w:tc>
        <w:tc>
          <w:tcPr>
            <w:tcW w:type="pct" w:w="758"/>
            <w:tcMar>
              <w:top w:type="dxa" w:w="50"/>
              <w:left w:type="dxa" w:w="110"/>
              <w:bottom w:type="dxa" w:w="50"/>
              <w:right w:type="dxa" w:w="110"/>
            </w:tcMar>
          </w:tcPr>
          <w:p>
            <w:pPr>
              <w:spacing w:before="28" w:after="28"/>
            </w:pPr>
            <w:r>
              <w:rPr>
                <w:sz w:val="15"/>
                <w:szCs w:val="15"/>
              </w:rPr>
              <w:t xml:space="preserve">1,665,000</w:t>
            </w:r>
          </w:p>
        </w:tc>
        <w:tc>
          <w:tcPr>
            <w:tcW w:type="pct" w:w="758"/>
            <w:tcMar>
              <w:top w:type="dxa" w:w="50"/>
              <w:left w:type="dxa" w:w="110"/>
              <w:bottom w:type="dxa" w:w="50"/>
              <w:right w:type="dxa" w:w="110"/>
            </w:tcMar>
          </w:tcPr>
          <w:p>
            <w:pPr>
              <w:spacing w:before="28" w:after="28"/>
            </w:pPr>
            <w:r>
              <w:rPr>
                <w:sz w:val="15"/>
                <w:szCs w:val="15"/>
              </w:rPr>
              <w:t xml:space="preserve">1,776,000</w:t>
            </w:r>
          </w:p>
        </w:tc>
        <w:tc>
          <w:tcPr>
            <w:tcW w:type="pct" w:w="758"/>
            <w:tcMar>
              <w:top w:type="dxa" w:w="50"/>
              <w:left w:type="dxa" w:w="110"/>
              <w:bottom w:type="dxa" w:w="50"/>
              <w:right w:type="dxa" w:w="110"/>
            </w:tcMar>
          </w:tcPr>
          <w:p>
            <w:pPr>
              <w:spacing w:before="28" w:after="28"/>
            </w:pPr>
            <w:r>
              <w:rPr>
                <w:sz w:val="15"/>
                <w:szCs w:val="15"/>
              </w:rPr>
              <w:t xml:space="preserve">1,665,000</w:t>
            </w:r>
          </w:p>
        </w:tc>
        <w:tc>
          <w:tcPr>
            <w:tcW w:type="pct" w:w="844"/>
            <w:tcMar>
              <w:top w:type="dxa" w:w="50"/>
              <w:left w:type="dxa" w:w="110"/>
              <w:bottom w:type="dxa" w:w="50"/>
              <w:right w:type="dxa" w:w="110"/>
            </w:tcMar>
          </w:tcPr>
          <w:p>
            <w:pPr>
              <w:spacing w:before="28" w:after="28"/>
            </w:pPr>
            <w:r>
              <w:rPr>
                <w:sz w:val="15"/>
                <w:szCs w:val="15"/>
              </w:rPr>
              <w:t xml:space="preserve">6,662,000</w:t>
            </w:r>
          </w:p>
        </w:tc>
      </w:tr>
      <w:tr>
        <w:tc>
          <w:tcPr>
            <w:tcW w:type="pct" w:w="1122"/>
            <w:shd w:fill="FBFAF6" w:val="clear"/>
            <w:tcMar>
              <w:top w:type="dxa" w:w="50"/>
              <w:left w:type="dxa" w:w="110"/>
              <w:bottom w:type="dxa" w:w="50"/>
              <w:right w:type="dxa" w:w="110"/>
            </w:tcMar>
          </w:tcPr>
          <w:p>
            <w:pPr>
              <w:spacing w:before="28" w:after="28"/>
            </w:pPr>
            <w:r>
              <w:rPr>
                <w:sz w:val="15"/>
                <w:szCs w:val="15"/>
              </w:rPr>
              <w:t xml:space="preserve">− Selling and admin</w:t>
            </w:r>
          </w:p>
        </w:tc>
        <w:tc>
          <w:tcPr>
            <w:tcW w:type="pct" w:w="758"/>
            <w:shd w:fill="FBFAF6" w:val="clear"/>
            <w:tcMar>
              <w:top w:type="dxa" w:w="50"/>
              <w:left w:type="dxa" w:w="110"/>
              <w:bottom w:type="dxa" w:w="50"/>
              <w:right w:type="dxa" w:w="110"/>
            </w:tcMar>
          </w:tcPr>
          <w:p>
            <w:pPr>
              <w:spacing w:before="28" w:after="28"/>
            </w:pPr>
            <w:r>
              <w:rPr>
                <w:sz w:val="15"/>
                <w:szCs w:val="15"/>
              </w:rPr>
              <w:t xml:space="preserve">(852,000)</w:t>
            </w:r>
          </w:p>
        </w:tc>
        <w:tc>
          <w:tcPr>
            <w:tcW w:type="pct" w:w="758"/>
            <w:shd w:fill="FBFAF6" w:val="clear"/>
            <w:tcMar>
              <w:top w:type="dxa" w:w="50"/>
              <w:left w:type="dxa" w:w="110"/>
              <w:bottom w:type="dxa" w:w="50"/>
              <w:right w:type="dxa" w:w="110"/>
            </w:tcMar>
          </w:tcPr>
          <w:p>
            <w:pPr>
              <w:spacing w:before="28" w:after="28"/>
            </w:pPr>
            <w:r>
              <w:rPr>
                <w:sz w:val="15"/>
                <w:szCs w:val="15"/>
              </w:rPr>
              <w:t xml:space="preserve">(870,000)</w:t>
            </w:r>
          </w:p>
        </w:tc>
        <w:tc>
          <w:tcPr>
            <w:tcW w:type="pct" w:w="758"/>
            <w:shd w:fill="FBFAF6" w:val="clear"/>
            <w:tcMar>
              <w:top w:type="dxa" w:w="50"/>
              <w:left w:type="dxa" w:w="110"/>
              <w:bottom w:type="dxa" w:w="50"/>
              <w:right w:type="dxa" w:w="110"/>
            </w:tcMar>
          </w:tcPr>
          <w:p>
            <w:pPr>
              <w:spacing w:before="28" w:after="28"/>
            </w:pPr>
            <w:r>
              <w:rPr>
                <w:sz w:val="15"/>
                <w:szCs w:val="15"/>
              </w:rPr>
              <w:t xml:space="preserve">(888,000)</w:t>
            </w:r>
          </w:p>
        </w:tc>
        <w:tc>
          <w:tcPr>
            <w:tcW w:type="pct" w:w="758"/>
            <w:shd w:fill="FBFAF6" w:val="clear"/>
            <w:tcMar>
              <w:top w:type="dxa" w:w="50"/>
              <w:left w:type="dxa" w:w="110"/>
              <w:bottom w:type="dxa" w:w="50"/>
              <w:right w:type="dxa" w:w="110"/>
            </w:tcMar>
          </w:tcPr>
          <w:p>
            <w:pPr>
              <w:spacing w:before="28" w:after="28"/>
            </w:pPr>
            <w:r>
              <w:rPr>
                <w:sz w:val="15"/>
                <w:szCs w:val="15"/>
              </w:rPr>
              <w:t xml:space="preserve">(870,000)</w:t>
            </w:r>
          </w:p>
        </w:tc>
        <w:tc>
          <w:tcPr>
            <w:tcW w:type="pct" w:w="844"/>
            <w:shd w:fill="FBFAF6" w:val="clear"/>
            <w:tcMar>
              <w:top w:type="dxa" w:w="50"/>
              <w:left w:type="dxa" w:w="110"/>
              <w:bottom w:type="dxa" w:w="50"/>
              <w:right w:type="dxa" w:w="110"/>
            </w:tcMar>
          </w:tcPr>
          <w:p>
            <w:pPr>
              <w:spacing w:before="28" w:after="28"/>
            </w:pPr>
            <w:r>
              <w:rPr>
                <w:sz w:val="15"/>
                <w:szCs w:val="15"/>
              </w:rPr>
              <w:t xml:space="preserve">(3,480,000)</w:t>
            </w:r>
          </w:p>
        </w:tc>
      </w:tr>
      <w:tr>
        <w:tc>
          <w:tcPr>
            <w:tcW w:type="pct" w:w="1122"/>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758"/>
            <w:tcMar>
              <w:top w:type="dxa" w:w="50"/>
              <w:left w:type="dxa" w:w="110"/>
              <w:bottom w:type="dxa" w:w="50"/>
              <w:right w:type="dxa" w:w="110"/>
            </w:tcMar>
          </w:tcPr>
          <w:p>
            <w:pPr>
              <w:spacing w:before="28" w:after="28"/>
            </w:pPr>
            <w:r>
              <w:rPr>
                <w:sz w:val="15"/>
                <w:szCs w:val="15"/>
              </w:rPr>
              <w:t xml:space="preserve">702,000</w:t>
            </w:r>
          </w:p>
        </w:tc>
        <w:tc>
          <w:tcPr>
            <w:tcW w:type="pct" w:w="758"/>
            <w:tcMar>
              <w:top w:type="dxa" w:w="50"/>
              <w:left w:type="dxa" w:w="110"/>
              <w:bottom w:type="dxa" w:w="50"/>
              <w:right w:type="dxa" w:w="110"/>
            </w:tcMar>
          </w:tcPr>
          <w:p>
            <w:pPr>
              <w:spacing w:before="28" w:after="28"/>
            </w:pPr>
            <w:r>
              <w:rPr>
                <w:sz w:val="15"/>
                <w:szCs w:val="15"/>
              </w:rPr>
              <w:t xml:space="preserve">795,000</w:t>
            </w:r>
          </w:p>
        </w:tc>
        <w:tc>
          <w:tcPr>
            <w:tcW w:type="pct" w:w="758"/>
            <w:tcMar>
              <w:top w:type="dxa" w:w="50"/>
              <w:left w:type="dxa" w:w="110"/>
              <w:bottom w:type="dxa" w:w="50"/>
              <w:right w:type="dxa" w:w="110"/>
            </w:tcMar>
          </w:tcPr>
          <w:p>
            <w:pPr>
              <w:spacing w:before="28" w:after="28"/>
            </w:pPr>
            <w:r>
              <w:rPr>
                <w:sz w:val="15"/>
                <w:szCs w:val="15"/>
              </w:rPr>
              <w:t xml:space="preserve">888,000</w:t>
            </w:r>
          </w:p>
        </w:tc>
        <w:tc>
          <w:tcPr>
            <w:tcW w:type="pct" w:w="758"/>
            <w:tcMar>
              <w:top w:type="dxa" w:w="50"/>
              <w:left w:type="dxa" w:w="110"/>
              <w:bottom w:type="dxa" w:w="50"/>
              <w:right w:type="dxa" w:w="110"/>
            </w:tcMar>
          </w:tcPr>
          <w:p>
            <w:pPr>
              <w:spacing w:before="28" w:after="28"/>
            </w:pPr>
            <w:r>
              <w:rPr>
                <w:sz w:val="15"/>
                <w:szCs w:val="15"/>
              </w:rPr>
              <w:t xml:space="preserve">795,000</w:t>
            </w:r>
          </w:p>
        </w:tc>
        <w:tc>
          <w:tcPr>
            <w:tcW w:type="pct" w:w="844"/>
            <w:tcMar>
              <w:top w:type="dxa" w:w="50"/>
              <w:left w:type="dxa" w:w="110"/>
              <w:bottom w:type="dxa" w:w="50"/>
              <w:right w:type="dxa" w:w="110"/>
            </w:tcMar>
          </w:tcPr>
          <w:p>
            <w:pPr>
              <w:spacing w:before="28" w:after="28"/>
            </w:pPr>
            <w:r>
              <w:rPr>
                <w:sz w:val="15"/>
                <w:szCs w:val="15"/>
              </w:rPr>
              <w:t xml:space="preserve">3,182,000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Cost of goods sold   ·   Marketing in the Gulf   ·   = Operating income</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Operating income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season, peaking at $888,000 in the summer quarter. </w:t>
      </w:r>
      <w:r>
        <w:rPr>
          <w:sz w:val="19"/>
          <w:szCs w:val="19"/>
        </w:rPr>
        <w:t xml:space="preserve">The board will compare each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actual result with this budget, using the flexible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   production   ·   quarter's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Quarters: $702,000 + $795,000 + $888,000 + $795,000 = $3,180,000; + $2,000 at year end = $3,182,000.</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7–10</w:t>
      </w:r>
    </w:p>
    <w:p>
      <w:pPr>
        <w:spacing w:before="20" w:after="20" w:line="360" w:lineRule="auto"/>
        <w:ind w:left="200"/>
      </w:pPr>
      <w:r>
        <w:rPr>
          <w:sz w:val="19"/>
          <w:szCs w:val="19"/>
        </w:rPr>
        <w:t xml:space="preserve">Expect stock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figures to build cost of goods sold, a list of selling and administrative costs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the parts of an operating budget to combine. </w:t>
      </w:r>
      <w:r>
        <w:rPr>
          <w:sz w:val="19"/>
          <w:szCs w:val="19"/>
        </w:rPr>
        <w:t xml:space="preserve">Watch which costs are variable, and whether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asks for gross margin,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margin or operating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classify   ·   contribution   ·   production   ·   question   ·   figures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second quarter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380,000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produced in the second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382,000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tcMar>
              <w:top w:type="dxa" w:w="50"/>
              <w:left w:type="dxa" w:w="110"/>
              <w:bottom w:type="dxa" w:w="50"/>
              <w:right w:type="dxa" w:w="110"/>
            </w:tcMar>
          </w:tcPr>
          <w:p>
            <w:pPr>
              <w:spacing w:before="28" w:after="28"/>
            </w:pPr>
            <w:r>
              <w:rPr>
                <w:sz w:val="15"/>
                <w:szCs w:val="15"/>
              </w:rPr>
              <w:t xml:space="preserve">38,000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40,000</w:t>
            </w:r>
          </w:p>
        </w:tc>
      </w:tr>
      <w:tr>
        <w:tc>
          <w:tcPr>
            <w:tcW w:type="pct" w:w="2600"/>
            <w:tcMar>
              <w:top w:type="dxa" w:w="50"/>
              <w:left w:type="dxa" w:w="110"/>
              <w:bottom w:type="dxa" w:w="50"/>
              <w:right w:type="dxa" w:w="110"/>
            </w:tcMar>
          </w:tcPr>
          <w:p>
            <w:pPr>
              <w:spacing w:before="28" w:after="28"/>
            </w:pPr>
            <w:r>
              <w:rPr>
                <w:sz w:val="15"/>
                <w:szCs w:val="15"/>
              </w:rPr>
              <w:t xml:space="preserve">Selling price per jar</w:t>
            </w:r>
          </w:p>
        </w:tc>
        <w:tc>
          <w:tcPr>
            <w:tcW w:type="pct" w:w="2400"/>
            <w:tcMar>
              <w:top w:type="dxa" w:w="50"/>
              <w:left w:type="dxa" w:w="110"/>
              <w:bottom w:type="dxa" w:w="50"/>
              <w:right w:type="dxa" w:w="110"/>
            </w:tcMar>
          </w:tcPr>
          <w:p>
            <w:pPr>
              <w:spacing w:before="28" w:after="28"/>
            </w:pPr>
            <w:r>
              <w:rPr>
                <w:sz w:val="15"/>
                <w:szCs w:val="15"/>
              </w:rPr>
              <w:t xml:space="preserve">$3.50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manufacturing cost per jar</w:t>
            </w:r>
          </w:p>
        </w:tc>
        <w:tc>
          <w:tcPr>
            <w:tcW w:type="pct" w:w="2400"/>
            <w:shd w:fill="FBFAF6" w:val="clear"/>
            <w:tcMar>
              <w:top w:type="dxa" w:w="50"/>
              <w:left w:type="dxa" w:w="110"/>
              <w:bottom w:type="dxa" w:w="50"/>
              <w:right w:type="dxa" w:w="110"/>
            </w:tcMar>
          </w:tcPr>
          <w:p>
            <w:pPr>
              <w:spacing w:before="28" w:after="28"/>
            </w:pPr>
            <w:r>
              <w:rPr>
                <w:sz w:val="15"/>
                <w:szCs w:val="15"/>
              </w:rPr>
              <w:t xml:space="preserve">$1.90</w:t>
            </w:r>
          </w:p>
        </w:tc>
      </w:tr>
      <w:tr>
        <w:tc>
          <w:tcPr>
            <w:tcW w:type="pct" w:w="2600"/>
            <w:tcMar>
              <w:top w:type="dxa" w:w="50"/>
              <w:left w:type="dxa" w:w="110"/>
              <w:bottom w:type="dxa" w:w="50"/>
              <w:right w:type="dxa" w:w="110"/>
            </w:tcMar>
          </w:tcPr>
          <w:p>
            <w:pPr>
              <w:spacing w:before="28" w:after="28"/>
            </w:pPr>
            <w:r>
              <w:rPr>
                <w:sz w:val="15"/>
                <w:szCs w:val="15"/>
              </w:rPr>
              <w:t xml:space="preserve">Fixed manufacturing overhead per jar (normal volume)</w:t>
            </w:r>
          </w:p>
        </w:tc>
        <w:tc>
          <w:tcPr>
            <w:tcW w:type="pct" w:w="2400"/>
            <w:tcMar>
              <w:top w:type="dxa" w:w="50"/>
              <w:left w:type="dxa" w:w="110"/>
              <w:bottom w:type="dxa" w:w="50"/>
              <w:right w:type="dxa" w:w="110"/>
            </w:tcMar>
          </w:tcPr>
          <w:p>
            <w:pPr>
              <w:spacing w:before="28" w:after="28"/>
            </w:pPr>
            <w:r>
              <w:rPr>
                <w:sz w:val="15"/>
                <w:szCs w:val="15"/>
              </w:rPr>
              <w:t xml:space="preserve">$0.64</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$0.10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$40,000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jars at the start of the quarter   ·   Jars sold in the second quarter   ·   Fixed selling and admin per month   ·   Variable manufacturing cost per jar   ·   Finished jars at the end of the quarter   ·   Variable selling cost per jar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Q3</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240,000 × $1.20 = $288,000; total $288,000 + $600,000 = $888,000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Q4</w:t>
            </w:r>
          </w:p>
        </w:tc>
        <w:tc>
          <w:tcPr>
            <w:tcW w:type="pct" w:w="2600"/>
            <w:shd w:fill="FBFAF6" w:val="clear"/>
            <w:tcMar>
              <w:top w:type="dxa" w:w="50"/>
              <w:left w:type="dxa" w:w="110"/>
              <w:bottom w:type="dxa" w:w="50"/>
              <w:right w:type="dxa" w:w="110"/>
            </w:tcMar>
          </w:tcPr>
          <w:p>
            <w:pPr>
              <w:spacing w:before="28" w:after="28"/>
            </w:pPr>
            <w:r>
              <w:rPr>
                <w:sz w:val="15"/>
                <w:szCs w:val="15"/>
              </w:rPr>
              <w:t xml:space="preserve">Variable 225,000 × $1.20 = $270,000; total $270,000 + $600,000 = $870,000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   Variable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0"/>
        <w:gridCol w:w="495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Cost — Category</w:t>
            </w:r>
          </w:p>
        </w:tc>
      </w:tr>
      <w:tr>
        <w:tc>
          <w:tcPr>
            <w:tcW w:type="pct" w:w="2422"/>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2578"/>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22"/>
            <w:tcMar>
              <w:top w:type="dxa" w:w="50"/>
              <w:left w:type="dxa" w:w="110"/>
              <w:bottom w:type="dxa" w:w="50"/>
              <w:right w:type="dxa" w:w="110"/>
            </w:tcMar>
          </w:tcPr>
          <w:p>
            <w:pPr>
              <w:spacing w:before="28" w:after="28"/>
            </w:pPr>
            <w:r>
              <w:rPr>
                <w:sz w:val="15"/>
                <w:szCs w:val="15"/>
              </w:rPr>
              <w:t xml:space="preserve">Depreciation of the tahini plant</w:t>
            </w:r>
          </w:p>
        </w:tc>
        <w:tc>
          <w:tcPr>
            <w:tcW w:type="pct" w:w="2578"/>
            <w:tcMar>
              <w:top w:type="dxa" w:w="50"/>
              <w:left w:type="dxa" w:w="110"/>
              <w:bottom w:type="dxa" w:w="50"/>
              <w:right w:type="dxa" w:w="110"/>
            </w:tcMar>
          </w:tcPr>
          <w:p>
            <w:pPr>
              <w:spacing w:before="28" w:after="28"/>
            </w:pPr>
            <w:r>
              <w:rPr>
                <w:sz w:val="15"/>
                <w:szCs w:val="15"/>
              </w:rPr>
              <w:t xml:space="preserve">Manufacturing cost</w:t>
            </w:r>
          </w:p>
        </w:tc>
      </w:tr>
      <w:tr>
        <w:tc>
          <w:tcPr>
            <w:tcW w:type="pct" w:w="2422"/>
            <w:shd w:fill="FBFAF6" w:val="clear"/>
            <w:tcMar>
              <w:top w:type="dxa" w:w="50"/>
              <w:left w:type="dxa" w:w="110"/>
              <w:bottom w:type="dxa" w:w="50"/>
              <w:right w:type="dxa" w:w="110"/>
            </w:tcMar>
          </w:tcPr>
          <w:p>
            <w:pPr>
              <w:spacing w:before="28" w:after="28"/>
            </w:pPr>
            <w:r>
              <w:rPr>
                <w:sz w:val="15"/>
                <w:szCs w:val="15"/>
              </w:rPr>
              <w:t xml:space="preserve">Freight to Gulf buyers per jar</w:t>
            </w:r>
          </w:p>
        </w:tc>
        <w:tc>
          <w:tcPr>
            <w:tcW w:type="pct" w:w="2578"/>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422"/>
            <w:tcMar>
              <w:top w:type="dxa" w:w="50"/>
              <w:left w:type="dxa" w:w="110"/>
              <w:bottom w:type="dxa" w:w="50"/>
              <w:right w:type="dxa" w:w="110"/>
            </w:tcMar>
          </w:tcPr>
          <w:p>
            <w:pPr>
              <w:spacing w:before="28" w:after="28"/>
            </w:pPr>
            <w:r>
              <w:rPr>
                <w:sz w:val="15"/>
                <w:szCs w:val="15"/>
              </w:rPr>
              <w:t xml:space="preserve">Sales team salaries</w:t>
            </w:r>
          </w:p>
        </w:tc>
        <w:tc>
          <w:tcPr>
            <w:tcW w:type="pct" w:w="2578"/>
            <w:tcMar>
              <w:top w:type="dxa" w:w="50"/>
              <w:left w:type="dxa" w:w="110"/>
              <w:bottom w:type="dxa" w:w="50"/>
              <w:right w:type="dxa" w:w="110"/>
            </w:tcMar>
          </w:tcPr>
          <w:p>
            <w:pPr>
              <w:spacing w:before="28" w:after="28"/>
            </w:pPr>
            <w:r>
              <w:rPr>
                <w:sz w:val="15"/>
                <w:szCs w:val="15"/>
              </w:rPr>
              <w:t xml:space="preserve">Fixed selling and administrative expense</w:t>
            </w:r>
          </w:p>
        </w:tc>
      </w:tr>
      <w:tr>
        <w:tc>
          <w:tcPr>
            <w:tcW w:type="pct" w:w="2422"/>
            <w:shd w:fill="FBFAF6" w:val="clear"/>
            <w:tcMar>
              <w:top w:type="dxa" w:w="50"/>
              <w:left w:type="dxa" w:w="110"/>
              <w:bottom w:type="dxa" w:w="50"/>
              <w:right w:type="dxa" w:w="110"/>
            </w:tcMar>
          </w:tcPr>
          <w:p>
            <w:pPr>
              <w:spacing w:before="28" w:after="28"/>
            </w:pPr>
            <w:r>
              <w:rPr>
                <w:sz w:val="15"/>
                <w:szCs w:val="15"/>
              </w:rPr>
              <w:t xml:space="preserve">Sesame paste</w:t>
            </w:r>
          </w:p>
        </w:tc>
        <w:tc>
          <w:tcPr>
            <w:tcW w:type="pct" w:w="2578"/>
            <w:shd w:fill="FBFAF6" w:val="clear"/>
            <w:tcMar>
              <w:top w:type="dxa" w:w="50"/>
              <w:left w:type="dxa" w:w="110"/>
              <w:bottom w:type="dxa" w:w="50"/>
              <w:right w:type="dxa" w:w="110"/>
            </w:tcMar>
          </w:tcPr>
          <w:p>
            <w:pPr>
              <w:spacing w:before="28" w:after="28"/>
            </w:pPr>
            <w:r>
              <w:rPr>
                <w:sz w:val="15"/>
                <w:szCs w:val="15"/>
              </w:rPr>
              <w:t xml:space="preserve">Manufacturing cost</w:t>
            </w:r>
          </w:p>
        </w:tc>
      </w:tr>
      <w:tr>
        <w:tc>
          <w:tcPr>
            <w:tcW w:type="pct" w:w="2422"/>
            <w:tcMar>
              <w:top w:type="dxa" w:w="50"/>
              <w:left w:type="dxa" w:w="110"/>
              <w:bottom w:type="dxa" w:w="50"/>
              <w:right w:type="dxa" w:w="110"/>
            </w:tcMar>
          </w:tcPr>
          <w:p>
            <w:pPr>
              <w:spacing w:before="28" w:after="28"/>
            </w:pPr>
            <w:r>
              <w:rPr>
                <w:sz w:val="15"/>
                <w:szCs w:val="15"/>
              </w:rPr>
              <w:t xml:space="preserve">Marketing in the Gulf</w:t>
            </w:r>
          </w:p>
        </w:tc>
        <w:tc>
          <w:tcPr>
            <w:tcW w:type="pct" w:w="2578"/>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2028 (USD)   ·   Variable selling expense   ·   Fixed selling and administrative expense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5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655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الموازنة التشغيلية (قائمة الدخل التقديرية)   ·   selling and administrative expense budget   ·   cost of goods sold budget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5"/>
        <w:gridCol w:w="463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6"/>
            <w:tcMar>
              <w:top w:type="dxa" w:w="50"/>
              <w:left w:type="dxa" w:w="110"/>
              <w:bottom w:type="dxa" w:w="50"/>
              <w:right w:type="dxa" w:w="110"/>
            </w:tcMar>
          </w:tcPr>
          <w:p>
            <w:pPr>
              <w:spacing w:before="26" w:after="26"/>
            </w:pPr>
            <w:r>
              <w:rPr>
                <w:color w:val="232733"/>
                <w:sz w:val="16"/>
                <w:szCs w:val="16"/>
              </w:rPr>
              <w:t xml:space="preserve">cost of goods sold budget</w:t>
            </w:r>
          </w:p>
        </w:tc>
        <w:tc>
          <w:tcPr>
            <w:tcW w:type="pct" w:w="2414"/>
            <w:tcMar>
              <w:top w:type="dxa" w:w="50"/>
              <w:left w:type="dxa" w:w="110"/>
              <w:bottom w:type="dxa" w:w="50"/>
              <w:right w:type="dxa" w:w="110"/>
            </w:tcMar>
          </w:tcPr>
          <w:p>
            <w:pPr>
              <w:spacing w:before="26" w:after="26"/>
            </w:pPr>
            <w:r>
              <w:rPr>
                <w:color w:val="232733"/>
                <w:sz w:val="16"/>
                <w:szCs w:val="16"/>
              </w:rPr>
              <w:t xml:space="preserve">موازنة تكلفة البضاعة المباعة</w:t>
            </w:r>
          </w:p>
        </w:tc>
      </w:tr>
      <w:tr>
        <w:tc>
          <w:tcPr>
            <w:tcW w:type="pct" w:w="2586"/>
            <w:shd w:fill="FBFAF6" w:val="clear"/>
            <w:tcMar>
              <w:top w:type="dxa" w:w="50"/>
              <w:left w:type="dxa" w:w="110"/>
              <w:bottom w:type="dxa" w:w="50"/>
              <w:right w:type="dxa" w:w="110"/>
            </w:tcMar>
          </w:tcPr>
          <w:p>
            <w:pPr>
              <w:spacing w:before="26" w:after="26"/>
            </w:pPr>
            <w:r>
              <w:rPr>
                <w:color w:val="232733"/>
                <w:sz w:val="16"/>
                <w:szCs w:val="16"/>
              </w:rPr>
              <w:t xml:space="preserve">selling and administrative expense budget</w:t>
            </w:r>
          </w:p>
        </w:tc>
        <w:tc>
          <w:tcPr>
            <w:tcW w:type="pct" w:w="2414"/>
            <w:shd w:fill="FBFAF6" w:val="clear"/>
            <w:tcMar>
              <w:top w:type="dxa" w:w="50"/>
              <w:left w:type="dxa" w:w="110"/>
              <w:bottom w:type="dxa" w:w="50"/>
              <w:right w:type="dxa" w:w="110"/>
            </w:tcMar>
          </w:tcPr>
          <w:p>
            <w:pPr>
              <w:spacing w:before="26" w:after="26"/>
            </w:pPr>
            <w:r>
              <w:rPr>
                <w:color w:val="232733"/>
                <w:sz w:val="16"/>
                <w:szCs w:val="16"/>
              </w:rPr>
              <w:t xml:space="preserve">موازنة المصروفات البيعية والإدارية</w:t>
            </w:r>
          </w:p>
        </w:tc>
      </w:tr>
      <w:tr>
        <w:tc>
          <w:tcPr>
            <w:tcW w:type="pct" w:w="2586"/>
            <w:tcMar>
              <w:top w:type="dxa" w:w="50"/>
              <w:left w:type="dxa" w:w="110"/>
              <w:bottom w:type="dxa" w:w="50"/>
              <w:right w:type="dxa" w:w="110"/>
            </w:tcMar>
          </w:tcPr>
          <w:p>
            <w:pPr>
              <w:spacing w:before="26" w:after="26"/>
            </w:pPr>
            <w:r>
              <w:rPr>
                <w:color w:val="232733"/>
                <w:sz w:val="16"/>
                <w:szCs w:val="16"/>
              </w:rPr>
              <w:t xml:space="preserve">operating budget (budgeted income statement)</w:t>
            </w:r>
          </w:p>
        </w:tc>
        <w:tc>
          <w:tcPr>
            <w:tcW w:type="pct" w:w="2414"/>
            <w:tcMar>
              <w:top w:type="dxa" w:w="50"/>
              <w:left w:type="dxa" w:w="110"/>
              <w:bottom w:type="dxa" w:w="50"/>
              <w:right w:type="dxa" w:w="110"/>
            </w:tcMar>
          </w:tcPr>
          <w:p>
            <w:pPr>
              <w:spacing w:before="26" w:after="26"/>
            </w:pPr>
            <w:r>
              <w:rPr>
                <w:color w:val="232733"/>
                <w:sz w:val="16"/>
                <w:szCs w:val="16"/>
              </w:rPr>
              <w:t xml:space="preserve">الموازنة التشغيلية (قائمة الدخل التقديرية)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8.5  Extended Example 8A: the quarterly operating budget for the board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reviews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Jars sold in the second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Finished jars at the start of the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 Cost of goods sold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Finished jars at the end of the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 Operating income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Variable selling cost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Fixed selling and admin per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Variable selling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classify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Fixed selling and administrative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cost of goods sold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selling and administrative expense budget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 reviews results every quarter, so it wants the operating budget by quarter. This example builds it from the schedules. The year column includes the year-end fixed-overhead adjustment.</w:t>
      </w:r>
    </w:p>
    <w:p>
      <w:pPr>
        <w:spacing w:before="20" w:after="20"/>
        <w:ind w:left="240" w:hanging="240"/>
      </w:pPr>
      <w:r>
        <w:rPr>
          <w:b/>
          <w:bCs/>
          <w:color w:val="353A7C"/>
          <w:sz w:val="15"/>
          <w:szCs w:val="15"/>
        </w:rPr>
        <w:t xml:space="preserve">Summary 2   </w:t>
      </w:r>
      <w:r>
        <w:rPr>
          <w:color w:val="6B7280"/>
          <w:sz w:val="15"/>
          <w:szCs w:val="15"/>
        </w:rPr>
        <w:t xml:space="preserve">Operating income follows the season, peaking at $888,000 in the summer quarter. The board will compare each quarter's actual result with this budget, using the flexible budget.</w:t>
      </w:r>
    </w:p>
    <w:p>
      <w:pPr>
        <w:spacing w:before="20" w:after="20"/>
        <w:ind w:left="240" w:hanging="240"/>
      </w:pPr>
      <w:r>
        <w:rPr>
          <w:b/>
          <w:bCs/>
          <w:color w:val="353A7C"/>
          <w:sz w:val="15"/>
          <w:szCs w:val="15"/>
        </w:rPr>
        <w:t xml:space="preserve">Summary 3   </w:t>
      </w:r>
      <w:r>
        <w:rPr>
          <w:color w:val="6B7280"/>
          <w:sz w:val="15"/>
          <w:szCs w:val="15"/>
        </w:rPr>
        <w:t xml:space="preserve">Expect stock and production figures to build cost of goods sold, a list of selling and administrative costs to classify, and the parts of an operating budget to combine. Watch which costs are variable, and whether the question asks for gross margin, contribution margin or operating income.</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8.1 · The cost of goods sold budget</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8.2 · The selling and administrative expense budget</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8.3 · Selling costs and the contribution margin</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8.4 · The operating budget</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8.5 · Extended Example 8A: the quarterly operating budget for the board</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65ef285e7bafba856b5148325e652f181d607a68.png" Type="http://schemas.openxmlformats.org/officeDocument/2006/relationships/image"/><Relationship Id="rId102" Target="media/dcca18171f464fb00f4723f5e87880dc4ab958a5.png" Type="http://schemas.openxmlformats.org/officeDocument/2006/relationships/image"/><Relationship Id="rId103" Target="media/d5165685ee6814dfca9990c0b8f51e9be4b3438a.png" Type="http://schemas.openxmlformats.org/officeDocument/2006/relationships/image"/><Relationship Id="rId104" Target="media/b99bc98bb5e338ef1040f1a00073614a9a525e2e.png" Type="http://schemas.openxmlformats.org/officeDocument/2006/relationships/image"/><Relationship Id="rId105" Target="media/8ddadad23c3a034ef50bcf3b8b362b47737fcfc2.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8</dc:title>
  <dc:subject>Summary handouts</dc:subject>
  <cp:category>Student Book</cp:category>
</cp:coreProperties>
</file>