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9.1  The capital expenditure budget</w:t>
            </w:r>
          </w:p>
          <w:p>
            <w:pPr>
              <w:spacing w:before="0" w:after="46"/>
            </w:pPr>
            <w:r>
              <w:rPr>
                <w:color w:val="E8EAF6"/>
                <w:sz w:val="16"/>
                <w:szCs w:val="16"/>
              </w:rPr>
              <w:t xml:space="preserve">Chapter 9 · section 9.1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9,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Collections and payments   ·   Extended Example 9A: financing the year and ha   ·   Preparing the cash budget   ·   The capital expenditure budget</w:t>
            </w:r>
          </w:p>
        </w:tc>
      </w:tr>
    </w:tbl>
    <w:p/>
    <w:p>
      <w:pPr>
        <w:spacing w:before="44" w:after="14"/>
      </w:pPr>
      <w:r>
        <w:rPr>
          <w:b/>
          <w:bCs/>
          <w:color w:val="353A7C"/>
          <w:sz w:val="18"/>
          <w:szCs w:val="18"/>
        </w:rPr>
        <w:t xml:space="preserve">Summary 1</w:t>
      </w:r>
      <w:r>
        <w:rPr>
          <w:color w:val="6B7280"/>
          <w:sz w:val="16"/>
          <w:szCs w:val="16"/>
        </w:rPr>
        <w:t xml:space="preserve">      gaps 4–7</w:t>
      </w:r>
    </w:p>
    <w:p>
      <w:pPr>
        <w:spacing w:before="20" w:after="20" w:line="360" w:lineRule="auto"/>
        <w:ind w:left="200"/>
      </w:pPr>
      <w:r>
        <w:rPr>
          <w:sz w:val="19"/>
          <w:szCs w:val="19"/>
        </w:rPr>
        <w:t xml:space="preserve">The capital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budget plans spending on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assets, such as plant, equipment and systems, by project and by period. </w:t>
      </w:r>
      <w:r>
        <w:rPr>
          <w:sz w:val="19"/>
          <w:szCs w:val="19"/>
        </w:rPr>
        <w:t xml:space="preserve">Each project is approved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usually with capital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methods (a CMA Part 2 topic), and then placed in the quarter when cash will be paid.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depreciation   ·   expenditure   ·   budgeting   ·   separately   ·   long-term</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filling line by quarter</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The project budget: equipment in the first quarter,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half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 the second, the rest in the third.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training   ·   installation   ·   investment</w:t>
            </w:r>
          </w:p>
        </w:tc>
      </w:tr>
    </w:tbl>
    <w:p/>
    <w:p>
      <w:pPr>
        <w:pageBreakBefore w:val="true"/>
        <w:spacing w:after="0"/>
      </w:pPr>
      <w:r>
        <w:rPr>
          <w:sz w:val="2"/>
        </w:rPr>
        <w:t xml:space="preserve"> </w:t>
      </w:r>
    </w:p>
    <w:p>
      <w:pPr>
        <w:spacing w:before="44" w:after="10"/>
      </w:pPr>
      <w:r>
        <w:rPr>
          <w:b/>
          <w:bCs/>
          <w:color w:val="353A7C"/>
          <w:sz w:val="18"/>
          <w:szCs w:val="18"/>
        </w:rPr>
        <w:t xml:space="preserve">Worked example: the capital expenditure budget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0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0672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Capital expenditure   ·   credit policy</w:t>
            </w:r>
          </w:p>
        </w:tc>
      </w:tr>
    </w:tbl>
    <w:p/>
    <w:p>
      <w:pPr>
        <w:spacing w:before="44" w:after="14"/>
      </w:pPr>
      <w:r>
        <w:rPr>
          <w:b/>
          <w:bCs/>
          <w:color w:val="353A7C"/>
          <w:sz w:val="18"/>
          <w:szCs w:val="18"/>
        </w:rPr>
        <w:t xml:space="preserve">Summary 3</w:t>
      </w:r>
      <w:r>
        <w:rPr>
          <w:color w:val="6B7280"/>
          <w:sz w:val="16"/>
          <w:szCs w:val="16"/>
        </w:rPr>
        <w:t xml:space="preserve">      gaps 11–15</w:t>
      </w:r>
    </w:p>
    <w:p>
      <w:pPr>
        <w:spacing w:before="20" w:after="20" w:line="360" w:lineRule="auto"/>
        <w:ind w:left="200"/>
      </w:pPr>
      <w:r>
        <w:rPr>
          <w:sz w:val="19"/>
          <w:szCs w:val="19"/>
        </w:rPr>
        <w:t xml:space="preserve">One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affects three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The cash budget shows the cash paid; the budgeted income statement shows depreciation over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life; the budgeted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sheet shows the asset at cost less depreciation. </w:t>
      </w:r>
      <w:r>
        <w:rPr>
          <w:sz w:val="19"/>
          <w:szCs w:val="19"/>
        </w:rPr>
        <w:t xml:space="preserve">The capital budget is 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budget, not part of the operating budget: the purchase itself is not an expense. </w:t>
      </w:r>
      <w:r>
        <w:rPr>
          <w:sz w:val="19"/>
          <w:szCs w:val="19"/>
        </w:rPr>
        <w:t xml:space="preserve">Only its depreciation reaches the income statement, a little at a time.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balance   ·   investment   ·   methods   ·   statements   ·   asset's   ·   financial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capital expenditure budget</w:t>
            </w:r>
          </w:p>
        </w:tc>
        <w:tc>
          <w:tcPr>
            <w:tcW w:type="pct" w:w="2400"/>
            <w:tcMar>
              <w:top w:type="dxa" w:w="50"/>
              <w:left w:type="dxa" w:w="110"/>
              <w:bottom w:type="dxa" w:w="50"/>
              <w:right w:type="dxa" w:w="110"/>
            </w:tcMar>
          </w:tcPr>
          <w:p>
            <w:pPr>
              <w:spacing w:before="26" w:after="26"/>
            </w:pPr>
            <w:r>
              <w:rPr>
                <w:color w:val="232733"/>
                <w:sz w:val="16"/>
                <w:szCs w:val="16"/>
              </w:rPr>
              <w:t xml:space="preserve">موازنة النفقات الرأسمالية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9.1  The capital expenditure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capital expenditure budget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training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Collections and payments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Capital expenditure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9A: financing the year and ha</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investment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expenditure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statements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long-term</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asset's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separately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budgeting</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installation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capital expenditure budget plans spending on long-term assets, such as plant, equipment and systems, by project and by period. Each project is approved separately, usually with capital budgeting methods (a CMA Part 2 topic), and then placed in the quarter when cash will be paid.</w:t>
      </w:r>
    </w:p>
    <w:p>
      <w:pPr>
        <w:spacing w:before="20" w:after="20"/>
        <w:ind w:left="240" w:hanging="240"/>
      </w:pPr>
      <w:r>
        <w:rPr>
          <w:b/>
          <w:bCs/>
          <w:color w:val="353A7C"/>
          <w:sz w:val="15"/>
          <w:szCs w:val="15"/>
        </w:rPr>
        <w:t xml:space="preserve">Summary 2   </w:t>
      </w:r>
      <w:r>
        <w:rPr>
          <w:color w:val="6B7280"/>
          <w:sz w:val="15"/>
          <w:szCs w:val="15"/>
        </w:rPr>
        <w:t xml:space="preserve">The project budget: equipment in the first quarter, installation and half the training in the second, the rest in the third.</w:t>
      </w:r>
    </w:p>
    <w:p>
      <w:pPr>
        <w:spacing w:before="20" w:after="20"/>
        <w:ind w:left="240" w:hanging="240"/>
      </w:pPr>
      <w:r>
        <w:rPr>
          <w:b/>
          <w:bCs/>
          <w:color w:val="353A7C"/>
          <w:sz w:val="15"/>
          <w:szCs w:val="15"/>
        </w:rPr>
        <w:t xml:space="preserve">Summary 3   </w:t>
      </w:r>
      <w:r>
        <w:rPr>
          <w:color w:val="6B7280"/>
          <w:sz w:val="15"/>
          <w:szCs w:val="15"/>
        </w:rPr>
        <w:t xml:space="preserve">One investment affects three statements. The cash budget shows the cash paid; the budgeted income statement shows depreciation over the asset's life; the budgeted balance sheet shows the asset at cost less depreciation. The capital budget is a financial budget, not part of the operating budget: the purchase itself is not an expense. Only its depreciation reaches the income statement, a little at a time.</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9.2  Why a cash budget?</w:t>
            </w:r>
          </w:p>
          <w:p>
            <w:pPr>
              <w:spacing w:before="0" w:after="46"/>
            </w:pPr>
            <w:r>
              <w:rPr>
                <w:color w:val="E8EAF6"/>
                <w:sz w:val="16"/>
                <w:szCs w:val="16"/>
              </w:rPr>
              <w:t xml:space="preserve">Chapter 9 · section 9.2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The cash budget plans the cash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 and going out each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the cash left at the end. </w:t>
      </w:r>
      <w:r>
        <w:rPr>
          <w:sz w:val="19"/>
          <w:szCs w:val="19"/>
        </w:rPr>
        <w:t xml:space="preserve">Its purposes are to show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early, so that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can be arranged in time, and to show surpluses that can be invested or used to repay loans. </w:t>
      </w:r>
      <w:r>
        <w:rPr>
          <w:sz w:val="19"/>
          <w:szCs w:val="19"/>
        </w:rPr>
        <w:t xml:space="preserve">It 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to every other budget. </w:t>
      </w:r>
      <w:r>
        <w:rPr>
          <w:sz w:val="19"/>
          <w:szCs w:val="19"/>
        </w:rPr>
        <w:t xml:space="preserve">Two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change on the way to the cash budget. </w:t>
      </w:r>
      <w:r>
        <w:rPr>
          <w:sz w:val="19"/>
          <w:szCs w:val="19"/>
        </w:rPr>
        <w:t xml:space="preserve">Timing changes, because customers and suppliers pay later; and non-cash items, such as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drop out.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borrowing   ·   linked   ·   coming   ·   arranged   ·   shortages   ·   depreciation   ·   things   ·   period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cash budget</w:t>
            </w:r>
          </w:p>
        </w:tc>
        <w:tc>
          <w:tcPr>
            <w:tcW w:type="pct" w:w="2600"/>
            <w:tcMar>
              <w:top w:type="dxa" w:w="50"/>
              <w:left w:type="dxa" w:w="110"/>
              <w:bottom w:type="dxa" w:w="50"/>
              <w:right w:type="dxa" w:w="110"/>
            </w:tcMar>
          </w:tcPr>
          <w:p>
            <w:pPr>
              <w:spacing w:before="26" w:after="26"/>
            </w:pPr>
            <w:r>
              <w:rPr>
                <w:color w:val="232733"/>
                <w:sz w:val="16"/>
                <w:szCs w:val="16"/>
              </w:rPr>
              <w:t xml:space="preserve">الموازنة النقدية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9.2  Why a cash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coming</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linked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period</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things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shortages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borrowing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cash budget plans the cash coming in and going out each period and the cash left at the end. Its purposes are to show shortages early, so that borrowing can be arranged in time, and to show surpluses that can be invested or used to repay loans. It is linked to every other budget. Two things change on the way to the cash budget. Timing changes, because customers and suppliers pay later; and non-cash items, such as depreciation, drop out.</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9.3  Collections and payments</w:t>
            </w:r>
          </w:p>
          <w:p>
            <w:pPr>
              <w:spacing w:before="0" w:after="46"/>
            </w:pPr>
            <w:r>
              <w:rPr>
                <w:color w:val="E8EAF6"/>
                <w:sz w:val="16"/>
                <w:szCs w:val="16"/>
              </w:rPr>
              <w:t xml:space="preserve">Chapter 9 · section 9.3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Cash collections follow the credit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not the sales budget.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collects 40% of each quarter's sales in that quarter and 60% in the next, so the first quarter also collects the rest of last year's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sales.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policy   ·   fourth-quarter   ·   concentrate   ·   Beverages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collections in the first quarter</w:t>
            </w:r>
          </w:p>
        </w:tc>
      </w:tr>
    </w:tbl>
    <w:p/>
    <w:p>
      <w:pPr>
        <w:spacing w:before="44" w:after="14"/>
      </w:pPr>
      <w:r>
        <w:rPr>
          <w:b/>
          <w:bCs/>
          <w:color w:val="353A7C"/>
          <w:sz w:val="18"/>
          <w:szCs w:val="18"/>
        </w:rPr>
        <w:t xml:space="preserve">Summary 2</w:t>
      </w:r>
      <w:r>
        <w:rPr>
          <w:color w:val="6B7280"/>
          <w:sz w:val="16"/>
          <w:szCs w:val="16"/>
        </w:rPr>
        <w:t xml:space="preserve">      gaps 4–5</w:t>
      </w:r>
    </w:p>
    <w:p>
      <w:pPr>
        <w:spacing w:before="20" w:after="20" w:line="360" w:lineRule="auto"/>
        <w:ind w:left="200"/>
      </w:pPr>
      <w:r>
        <w:rPr>
          <w:sz w:val="19"/>
          <w:szCs w:val="19"/>
        </w:rPr>
        <w:t xml:space="preserve">The first quarter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$2,460,000 still owed from last year, plus 40% of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sales of $4,200,000, for a total of $4,140,000.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collects   ·   supplier   ·   first-quarter</w:t>
            </w:r>
          </w:p>
        </w:tc>
      </w:tr>
    </w:tbl>
    <w:p/>
    <w:p>
      <w:pPr>
        <w:spacing w:before="44" w:after="10"/>
      </w:pPr>
      <w:r>
        <w:rPr>
          <w:b/>
          <w:bCs/>
          <w:color w:val="353A7C"/>
          <w:sz w:val="18"/>
          <w:szCs w:val="18"/>
        </w:rPr>
        <w:t xml:space="preserve">Worked example: the collections schedule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0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0672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Cash collections   ·   cash disbursements</w:t>
            </w:r>
          </w:p>
        </w:tc>
      </w:tr>
    </w:tbl>
    <w:p/>
    <w:p>
      <w:pPr>
        <w:spacing w:before="44" w:after="14"/>
      </w:pPr>
      <w:r>
        <w:rPr>
          <w:b/>
          <w:bCs/>
          <w:color w:val="353A7C"/>
          <w:sz w:val="18"/>
          <w:szCs w:val="18"/>
        </w:rPr>
        <w:t xml:space="preserve">Summary 3</w:t>
      </w:r>
      <w:r>
        <w:rPr>
          <w:color w:val="6B7280"/>
          <w:sz w:val="16"/>
          <w:szCs w:val="16"/>
        </w:rPr>
        <w:t xml:space="preserve">      gaps 7–9</w:t>
      </w:r>
    </w:p>
    <w:p>
      <w:pPr>
        <w:spacing w:before="20" w:after="20" w:line="360" w:lineRule="auto"/>
        <w:ind w:left="200"/>
      </w:pPr>
      <w:r>
        <w:rPr>
          <w:sz w:val="19"/>
          <w:szCs w:val="19"/>
        </w:rPr>
        <w:t xml:space="preserve">Cash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follow the payment terms in the same way.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supplier is paid 50% in the quarter of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and the rest in the next; bottles, wages and most expenses are paid as they occur.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disbursements   ·   straight   ·   purchase   ·   concentrate</w:t>
            </w:r>
          </w:p>
        </w:tc>
      </w:tr>
    </w:tbl>
    <w:p/>
    <w:p>
      <w:pPr>
        <w:pageBreakBefore w:val="true"/>
        <w:spacing w:after="0"/>
      </w:pPr>
      <w:r>
        <w:rPr>
          <w:sz w:val="2"/>
        </w:rPr>
        <w:t xml:space="preserve"> </w:t>
      </w:r>
    </w:p>
    <w:p>
      <w:pPr>
        <w:spacing w:before="44" w:after="10"/>
      </w:pPr>
      <w:r>
        <w:rPr>
          <w:b/>
          <w:bCs/>
          <w:color w:val="353A7C"/>
          <w:sz w:val="18"/>
          <w:szCs w:val="18"/>
        </w:rPr>
        <w:t xml:space="preserve">Concentrate payments by quarter</w:t>
      </w:r>
    </w:p>
    <w:p>
      <w:pPr>
        <w:spacing w:before="0" w:after="12"/>
      </w:pPr>
      <w:r>
        <w:rPr>
          <w:color w:val="6B7280"/>
          <w:sz w:val="15"/>
          <w:szCs w:val="15"/>
        </w:rPr>
        <w:t xml:space="preserve">Name each line from how it moves.</w:t>
      </w:r>
    </w:p>
    <w:p>
      <w:pPr>
        <w:spacing w:after="40" w:before="90"/>
        <w:jc w:val="center"/>
      </w:pPr>
      <w:r>
        <w:drawing>
          <wp:inline distT="0" distB="0" distL="0" distR="0">
            <wp:extent cx="5734050" cy="245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4520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Purchases (Chapter 7)   ·   Paid from last quarter (50%)   ·   Paid this quarter (50%)</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Concentrate payments in the third and fourth quarters</w:t>
            </w:r>
          </w:p>
        </w:tc>
      </w:tr>
    </w:tbl>
    <w:p/>
    <w:p>
      <w:pPr>
        <w:spacing w:before="20" w:after="20" w:line="360" w:lineRule="auto"/>
        <w:ind w:left="200"/>
      </w:pPr>
      <w:r>
        <w:rPr>
          <w:sz w:val="19"/>
          <w:szCs w:val="19"/>
        </w:rPr>
        <w:t xml:space="preserve">Complete the blank cells.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Sales are not collections</w:t>
            </w:r>
          </w:p>
        </w:tc>
      </w:tr>
    </w:tbl>
    <w:p/>
    <w:p>
      <w:pPr>
        <w:spacing w:before="44" w:after="14"/>
      </w:pPr>
      <w:r>
        <w:rPr>
          <w:b/>
          <w:bCs/>
          <w:color w:val="353A7C"/>
          <w:sz w:val="18"/>
          <w:szCs w:val="18"/>
        </w:rPr>
        <w:t xml:space="preserve">Summary 4</w:t>
      </w:r>
      <w:r>
        <w:rPr>
          <w:color w:val="6B7280"/>
          <w:sz w:val="16"/>
          <w:szCs w:val="16"/>
        </w:rPr>
        <w:t xml:space="preserve">      gaps 12–13</w:t>
      </w:r>
    </w:p>
    <w:p>
      <w:pPr>
        <w:spacing w:before="20" w:after="20" w:line="360" w:lineRule="auto"/>
        <w:ind w:left="200"/>
      </w:pPr>
      <w:r>
        <w:rPr>
          <w:sz w:val="19"/>
          <w:szCs w:val="19"/>
        </w:rPr>
        <w:t xml:space="preserve">An answer that puts sales or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straight into the cash budget ignores credit and payment terms. </w:t>
      </w:r>
      <w:r>
        <w:rPr>
          <w:sz w:val="19"/>
          <w:szCs w:val="19"/>
        </w:rPr>
        <w:t xml:space="preserve">Build a collections schedule and 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schedule first.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straight   ·   purchases   ·   payments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cash disbursements   ·   المتحصلات النقدية   ·   credit policy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79"/>
        <w:gridCol w:w="462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9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7"/>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93"/>
            <w:tcMar>
              <w:top w:type="dxa" w:w="50"/>
              <w:left w:type="dxa" w:w="110"/>
              <w:bottom w:type="dxa" w:w="50"/>
              <w:right w:type="dxa" w:w="110"/>
            </w:tcMar>
          </w:tcPr>
          <w:p>
            <w:pPr>
              <w:spacing w:before="26" w:after="26"/>
            </w:pPr>
            <w:r>
              <w:rPr>
                <w:color w:val="232733"/>
                <w:sz w:val="16"/>
                <w:szCs w:val="16"/>
              </w:rPr>
              <w:t xml:space="preserve">cash collections</w:t>
            </w:r>
          </w:p>
        </w:tc>
        <w:tc>
          <w:tcPr>
            <w:tcW w:type="pct" w:w="2407"/>
            <w:tcMar>
              <w:top w:type="dxa" w:w="50"/>
              <w:left w:type="dxa" w:w="110"/>
              <w:bottom w:type="dxa" w:w="50"/>
              <w:right w:type="dxa" w:w="110"/>
            </w:tcMar>
          </w:tcPr>
          <w:p>
            <w:pPr>
              <w:spacing w:before="26" w:after="26"/>
            </w:pPr>
            <w:r>
              <w:rPr>
                <w:color w:val="232733"/>
                <w:sz w:val="16"/>
                <w:szCs w:val="16"/>
              </w:rPr>
              <w:t xml:space="preserve">المتحصلات النقدية</w:t>
            </w:r>
          </w:p>
        </w:tc>
      </w:tr>
      <w:tr>
        <w:tc>
          <w:tcPr>
            <w:tcW w:type="pct" w:w="2593"/>
            <w:shd w:fill="FBFAF6" w:val="clear"/>
            <w:tcMar>
              <w:top w:type="dxa" w:w="50"/>
              <w:left w:type="dxa" w:w="110"/>
              <w:bottom w:type="dxa" w:w="50"/>
              <w:right w:type="dxa" w:w="110"/>
            </w:tcMar>
          </w:tcPr>
          <w:p>
            <w:pPr>
              <w:spacing w:before="26" w:after="26"/>
            </w:pPr>
            <w:r>
              <w:rPr>
                <w:color w:val="232733"/>
                <w:sz w:val="16"/>
                <w:szCs w:val="16"/>
              </w:rPr>
              <w:t xml:space="preserve">cash disbursements</w:t>
            </w:r>
          </w:p>
        </w:tc>
        <w:tc>
          <w:tcPr>
            <w:tcW w:type="pct" w:w="2407"/>
            <w:shd w:fill="FBFAF6" w:val="clear"/>
            <w:tcMar>
              <w:top w:type="dxa" w:w="50"/>
              <w:left w:type="dxa" w:w="110"/>
              <w:bottom w:type="dxa" w:w="50"/>
              <w:right w:type="dxa" w:w="110"/>
            </w:tcMar>
          </w:tcPr>
          <w:p>
            <w:pPr>
              <w:spacing w:before="26" w:after="26"/>
            </w:pPr>
            <w:r>
              <w:rPr>
                <w:color w:val="232733"/>
                <w:sz w:val="16"/>
                <w:szCs w:val="16"/>
              </w:rPr>
              <w:t xml:space="preserve">المدفوعات النقدية</w:t>
            </w:r>
          </w:p>
        </w:tc>
      </w:tr>
      <w:tr>
        <w:tc>
          <w:tcPr>
            <w:tcW w:type="pct" w:w="2593"/>
            <w:tcMar>
              <w:top w:type="dxa" w:w="50"/>
              <w:left w:type="dxa" w:w="110"/>
              <w:bottom w:type="dxa" w:w="50"/>
              <w:right w:type="dxa" w:w="110"/>
            </w:tcMar>
          </w:tcPr>
          <w:p>
            <w:pPr>
              <w:spacing w:before="26" w:after="26"/>
            </w:pPr>
            <w:r>
              <w:rPr>
                <w:color w:val="232733"/>
                <w:sz w:val="16"/>
                <w:szCs w:val="16"/>
              </w:rPr>
              <w:t xml:space="preserve">credit policy</w:t>
            </w:r>
          </w:p>
        </w:tc>
        <w:tc>
          <w:tcPr>
            <w:tcW w:type="pct" w:w="2407"/>
            <w:tcMar>
              <w:top w:type="dxa" w:w="50"/>
              <w:left w:type="dxa" w:w="110"/>
              <w:bottom w:type="dxa" w:w="50"/>
              <w:right w:type="dxa" w:w="110"/>
            </w:tcMar>
          </w:tcPr>
          <w:p>
            <w:pPr>
              <w:spacing w:before="26" w:after="26"/>
            </w:pPr>
            <w:r>
              <w:rPr>
                <w:color w:val="232733"/>
                <w:sz w:val="16"/>
                <w:szCs w:val="16"/>
              </w:rPr>
              <w:t xml:space="preserve">سياسة الائتمان</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9.3  Collections and payments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policy</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purchase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Purchases (Chapter 7)</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fourth-quarter</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Paid from last quarter (50%)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collects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purchases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first-quarter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payments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Cash collections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cash disbursements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disbursements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credit policy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concentrate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Cash collections follow the credit policy, not the sales budget. Beverages collects 40% of each quarter's sales in that quarter and 60% in the next, so the first quarter also collects the rest of last year's fourth-quarter sales.</w:t>
      </w:r>
    </w:p>
    <w:p>
      <w:pPr>
        <w:spacing w:before="20" w:after="20"/>
        <w:ind w:left="240" w:hanging="240"/>
      </w:pPr>
      <w:r>
        <w:rPr>
          <w:b/>
          <w:bCs/>
          <w:color w:val="353A7C"/>
          <w:sz w:val="15"/>
          <w:szCs w:val="15"/>
        </w:rPr>
        <w:t xml:space="preserve">Summary 2   </w:t>
      </w:r>
      <w:r>
        <w:rPr>
          <w:color w:val="6B7280"/>
          <w:sz w:val="15"/>
          <w:szCs w:val="15"/>
        </w:rPr>
        <w:t xml:space="preserve">The first quarter collects $2,460,000 still owed from last year, plus 40% of first-quarter sales of $4,200,000, for a total of $4,140,000.</w:t>
      </w:r>
    </w:p>
    <w:p>
      <w:pPr>
        <w:spacing w:before="20" w:after="20"/>
        <w:ind w:left="240" w:hanging="240"/>
      </w:pPr>
      <w:r>
        <w:rPr>
          <w:b/>
          <w:bCs/>
          <w:color w:val="353A7C"/>
          <w:sz w:val="15"/>
          <w:szCs w:val="15"/>
        </w:rPr>
        <w:t xml:space="preserve">Summary 3   </w:t>
      </w:r>
      <w:r>
        <w:rPr>
          <w:color w:val="6B7280"/>
          <w:sz w:val="15"/>
          <w:szCs w:val="15"/>
        </w:rPr>
        <w:t xml:space="preserve">Cash disbursements follow the payment terms in the same way. The concentrate supplier is paid 50% in the quarter of purchase and the rest in the next; bottles, wages and most expenses are paid as they occur.</w:t>
      </w:r>
    </w:p>
    <w:p>
      <w:pPr>
        <w:spacing w:before="20" w:after="20"/>
        <w:ind w:left="240" w:hanging="240"/>
      </w:pPr>
      <w:r>
        <w:rPr>
          <w:b/>
          <w:bCs/>
          <w:color w:val="353A7C"/>
          <w:sz w:val="15"/>
          <w:szCs w:val="15"/>
        </w:rPr>
        <w:t xml:space="preserve">Summary 4   </w:t>
      </w:r>
      <w:r>
        <w:rPr>
          <w:color w:val="6B7280"/>
          <w:sz w:val="15"/>
          <w:szCs w:val="15"/>
        </w:rPr>
        <w:t xml:space="preserve">An answer that puts sales or purchases straight into the cash budget ignores credit and payment terms. Build a collections schedule and a payments schedule first.</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9.4  Preparing the cash budget</w:t>
            </w:r>
          </w:p>
          <w:p>
            <w:pPr>
              <w:spacing w:before="0" w:after="46"/>
            </w:pPr>
            <w:r>
              <w:rPr>
                <w:color w:val="E8EAF6"/>
                <w:sz w:val="16"/>
                <w:szCs w:val="16"/>
              </w:rPr>
              <w:t xml:space="preserve">Chapter 9 · section 9.4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The cash budget has four parts: beginning cash plus collections gives cash available; minus disbursements gives cash before financing; borrowing, interest and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give ending cash.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keeps a minimum cash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of $400,000.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costs are left out. </w:t>
      </w:r>
      <w:r>
        <w:rPr>
          <w:sz w:val="19"/>
          <w:szCs w:val="19"/>
        </w:rPr>
        <w:t xml:space="preserve">Fixed overhead is paid at $300,000 a quarter, not $450,000, because $150,000 of it is depreciation; fixed selling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costs are paid at $550,000.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Non-cash   ·   selling   ·   balance   ·   Management   ·   repayments   ·   administrative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first quarter</w:t>
            </w:r>
          </w:p>
        </w:tc>
      </w:tr>
    </w:tbl>
    <w:p/>
    <w:p>
      <w:pPr>
        <w:spacing w:before="44" w:after="14"/>
      </w:pPr>
      <w:r>
        <w:rPr>
          <w:b/>
          <w:bCs/>
          <w:color w:val="353A7C"/>
          <w:sz w:val="18"/>
          <w:szCs w:val="18"/>
        </w:rPr>
        <w:t xml:space="preserve">Summary 2</w:t>
      </w:r>
      <w:r>
        <w:rPr>
          <w:color w:val="6B7280"/>
          <w:sz w:val="16"/>
          <w:szCs w:val="16"/>
        </w:rPr>
        <w:t xml:space="preserve">      gaps 6–7</w:t>
      </w:r>
    </w:p>
    <w:p>
      <w:pPr>
        <w:spacing w:before="20" w:after="20" w:line="360" w:lineRule="auto"/>
        <w:ind w:left="200"/>
      </w:pPr>
      <w:r>
        <w:rPr>
          <w:sz w:val="19"/>
          <w:szCs w:val="19"/>
        </w:rPr>
        <w:t xml:space="preserve">Cash available $4,640,000 −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$5,163,750 = $(523,750) before financing. </w:t>
      </w:r>
      <w:r>
        <w:rPr>
          <w:sz w:val="19"/>
          <w:szCs w:val="19"/>
        </w:rPr>
        <w:t xml:space="preserve">To stay above the minimum after interest, Beverages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$1,000,000 in steps of $100,000; after interest of $20,000, ending cash is $456,250.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quarter   ·   borrows   ·   disbursements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099"/>
        <w:gridCol w:w="1656"/>
        <w:gridCol w:w="1639"/>
        <w:gridCol w:w="1648"/>
        <w:gridCol w:w="1558"/>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Worked example: the Beverages cash budget for 2028</w:t>
            </w:r>
          </w:p>
        </w:tc>
      </w:tr>
      <w:tr>
        <w:tc>
          <w:tcPr>
            <w:tcW w:type="pct" w:w="1614"/>
            <w:shd w:fill="353A7C" w:val="clear"/>
            <w:tcMar>
              <w:top w:type="dxa" w:w="50"/>
              <w:left w:type="dxa" w:w="110"/>
              <w:bottom w:type="dxa" w:w="50"/>
              <w:right w:type="dxa" w:w="110"/>
            </w:tcMar>
          </w:tcPr>
          <w:p>
            <w:pPr>
              <w:spacing w:before="30" w:after="30"/>
            </w:pPr>
            <w:r>
              <w:rPr>
                <w:b/>
                <w:bCs/>
                <w:color w:val="FFFFFF"/>
                <w:sz w:val="15"/>
                <w:szCs w:val="15"/>
              </w:rPr>
              <w:t xml:space="preserve">Beverages cash budget 2028 (USD)</w:t>
            </w:r>
          </w:p>
        </w:tc>
        <w:tc>
          <w:tcPr>
            <w:tcW w:type="pct" w:w="863"/>
            <w:shd w:fill="353A7C" w:val="clear"/>
            <w:tcMar>
              <w:top w:type="dxa" w:w="50"/>
              <w:left w:type="dxa" w:w="110"/>
              <w:bottom w:type="dxa" w:w="50"/>
              <w:right w:type="dxa" w:w="110"/>
            </w:tcMar>
          </w:tcPr>
          <w:p>
            <w:pPr>
              <w:spacing w:before="30" w:after="30"/>
            </w:pPr>
            <w:r>
              <w:rPr>
                <w:b/>
                <w:bCs/>
                <w:color w:val="FFFFFF"/>
                <w:sz w:val="15"/>
                <w:szCs w:val="15"/>
              </w:rPr>
              <w:t xml:space="preserve">Q1</w:t>
            </w:r>
          </w:p>
        </w:tc>
        <w:tc>
          <w:tcPr>
            <w:tcW w:type="pct" w:w="854"/>
            <w:shd w:fill="353A7C" w:val="clear"/>
            <w:tcMar>
              <w:top w:type="dxa" w:w="50"/>
              <w:left w:type="dxa" w:w="110"/>
              <w:bottom w:type="dxa" w:w="50"/>
              <w:right w:type="dxa" w:w="110"/>
            </w:tcMar>
          </w:tcPr>
          <w:p>
            <w:pPr>
              <w:spacing w:before="30" w:after="30"/>
            </w:pPr>
            <w:r>
              <w:rPr>
                <w:b/>
                <w:bCs/>
                <w:color w:val="FFFFFF"/>
                <w:sz w:val="15"/>
                <w:szCs w:val="15"/>
              </w:rPr>
              <w:t xml:space="preserve">Q2</w:t>
            </w:r>
          </w:p>
        </w:tc>
        <w:tc>
          <w:tcPr>
            <w:tcW w:type="pct" w:w="858"/>
            <w:shd w:fill="353A7C" w:val="clear"/>
            <w:tcMar>
              <w:top w:type="dxa" w:w="50"/>
              <w:left w:type="dxa" w:w="110"/>
              <w:bottom w:type="dxa" w:w="50"/>
              <w:right w:type="dxa" w:w="110"/>
            </w:tcMar>
          </w:tcPr>
          <w:p>
            <w:pPr>
              <w:spacing w:before="30" w:after="30"/>
            </w:pPr>
            <w:r>
              <w:rPr>
                <w:b/>
                <w:bCs/>
                <w:color w:val="FFFFFF"/>
                <w:sz w:val="15"/>
                <w:szCs w:val="15"/>
              </w:rPr>
              <w:t xml:space="preserve">Q3</w:t>
            </w:r>
          </w:p>
        </w:tc>
        <w:tc>
          <w:tcPr>
            <w:tcW w:type="pct" w:w="811"/>
            <w:shd w:fill="353A7C" w:val="clear"/>
            <w:tcMar>
              <w:top w:type="dxa" w:w="50"/>
              <w:left w:type="dxa" w:w="110"/>
              <w:bottom w:type="dxa" w:w="50"/>
              <w:right w:type="dxa" w:w="110"/>
            </w:tcMar>
          </w:tcPr>
          <w:p>
            <w:pPr>
              <w:spacing w:before="30" w:after="30"/>
            </w:pPr>
            <w:r>
              <w:rPr>
                <w:b/>
                <w:bCs/>
                <w:color w:val="FFFFFF"/>
                <w:sz w:val="15"/>
                <w:szCs w:val="15"/>
              </w:rPr>
              <w:t xml:space="preserve">Q4</w:t>
            </w:r>
          </w:p>
        </w:tc>
      </w:tr>
      <w:tr>
        <w:tc>
          <w:tcPr>
            <w:tcW w:type="pct" w:w="1614"/>
            <w:tcMar>
              <w:top w:type="dxa" w:w="50"/>
              <w:left w:type="dxa" w:w="110"/>
              <w:bottom w:type="dxa" w:w="50"/>
              <w:right w:type="dxa" w:w="110"/>
            </w:tcMar>
          </w:tcPr>
          <w:p>
            <w:pPr>
              <w:spacing w:before="28" w:after="28"/>
            </w:pPr>
            <w:r>
              <w:rPr>
                <w:sz w:val="15"/>
                <w:szCs w:val="15"/>
              </w:rPr>
              <w:t xml:space="preserve">Beginning cash</w:t>
            </w:r>
          </w:p>
        </w:tc>
        <w:tc>
          <w:tcPr>
            <w:tcW w:type="pct" w:w="863"/>
            <w:tcMar>
              <w:top w:type="dxa" w:w="50"/>
              <w:left w:type="dxa" w:w="110"/>
              <w:bottom w:type="dxa" w:w="50"/>
              <w:right w:type="dxa" w:w="110"/>
            </w:tcMar>
          </w:tcPr>
          <w:p>
            <w:pPr>
              <w:spacing w:before="28" w:after="28"/>
            </w:pPr>
            <w:r>
              <w:rPr>
                <w:sz w:val="15"/>
                <w:szCs w:val="15"/>
              </w:rPr>
              <w:t xml:space="preserve">500,000</w:t>
            </w:r>
          </w:p>
        </w:tc>
        <w:tc>
          <w:tcPr>
            <w:tcW w:type="pct" w:w="854"/>
            <w:tcMar>
              <w:top w:type="dxa" w:w="50"/>
              <w:left w:type="dxa" w:w="110"/>
              <w:bottom w:type="dxa" w:w="50"/>
              <w:right w:type="dxa" w:w="110"/>
            </w:tcMar>
          </w:tcPr>
          <w:p>
            <w:pPr>
              <w:spacing w:before="28" w:after="28"/>
            </w:pPr>
            <w:r>
              <w:rPr>
                <w:sz w:val="15"/>
                <w:szCs w:val="15"/>
              </w:rPr>
              <w:t xml:space="preserve">456,250</w:t>
            </w:r>
          </w:p>
        </w:tc>
        <w:tc>
          <w:tcPr>
            <w:tcW w:type="pct" w:w="858"/>
            <w:tcMar>
              <w:top w:type="dxa" w:w="50"/>
              <w:left w:type="dxa" w:w="110"/>
              <w:bottom w:type="dxa" w:w="50"/>
              <w:right w:type="dxa" w:w="110"/>
            </w:tcMar>
          </w:tcPr>
          <w:p>
            <w:pPr>
              <w:spacing w:before="28" w:after="28"/>
            </w:pPr>
            <w:r>
              <w:rPr>
                <w:sz w:val="15"/>
                <w:szCs w:val="15"/>
              </w:rPr>
              <w:t xml:space="preserve">403,470</w:t>
            </w:r>
          </w:p>
        </w:tc>
        <w:tc>
          <w:tcPr>
            <w:tcW w:type="pct" w:w="811"/>
            <w:tcMar>
              <w:top w:type="dxa" w:w="50"/>
              <w:left w:type="dxa" w:w="110"/>
              <w:bottom w:type="dxa" w:w="50"/>
              <w:right w:type="dxa" w:w="110"/>
            </w:tcMar>
          </w:tcPr>
          <w:p>
            <w:pPr>
              <w:spacing w:before="28" w:after="28"/>
            </w:pPr>
            <w:r>
              <w:rPr>
                <w:sz w:val="15"/>
                <w:szCs w:val="15"/>
              </w:rPr>
              <w:t xml:space="preserve">538,920</w:t>
            </w:r>
          </w:p>
        </w:tc>
      </w:tr>
      <w:tr>
        <w:tc>
          <w:tcPr>
            <w:tcW w:type="pct" w:w="1614"/>
            <w:shd w:fill="FBFAF6" w:val="clear"/>
            <w:tcMar>
              <w:top w:type="dxa" w:w="50"/>
              <w:left w:type="dxa" w:w="110"/>
              <w:bottom w:type="dxa" w:w="50"/>
              <w:right w:type="dxa" w:w="110"/>
            </w:tcMar>
          </w:tcPr>
          <w:p>
            <w:pPr>
              <w:spacing w:before="28" w:after="28"/>
            </w:pPr>
            <w:r>
              <w:rPr>
                <w:sz w:val="15"/>
                <w:szCs w:val="15"/>
              </w:rPr>
              <w:t xml:space="preserve">+ Collections</w:t>
            </w:r>
          </w:p>
        </w:tc>
        <w:tc>
          <w:tcPr>
            <w:tcW w:type="pct" w:w="863"/>
            <w:shd w:fill="FBFAF6" w:val="clear"/>
            <w:tcMar>
              <w:top w:type="dxa" w:w="50"/>
              <w:left w:type="dxa" w:w="110"/>
              <w:bottom w:type="dxa" w:w="50"/>
              <w:right w:type="dxa" w:w="110"/>
            </w:tcMar>
          </w:tcPr>
          <w:p>
            <w:pPr>
              <w:spacing w:before="28" w:after="28"/>
            </w:pPr>
            <w:r>
              <w:rPr>
                <w:sz w:val="15"/>
                <w:szCs w:val="15"/>
              </w:rPr>
              <w:t xml:space="preserve">4,140,000</w:t>
            </w:r>
          </w:p>
        </w:tc>
        <w:tc>
          <w:tcPr>
            <w:tcW w:type="pct" w:w="854"/>
            <w:shd w:fill="FBFAF6" w:val="clear"/>
            <w:tcMar>
              <w:top w:type="dxa" w:w="50"/>
              <w:left w:type="dxa" w:w="110"/>
              <w:bottom w:type="dxa" w:w="50"/>
              <w:right w:type="dxa" w:w="110"/>
            </w:tcMar>
          </w:tcPr>
          <w:p>
            <w:pPr>
              <w:spacing w:before="28" w:after="28"/>
            </w:pPr>
            <w:r>
              <w:rPr>
                <w:sz w:val="15"/>
                <w:szCs w:val="15"/>
              </w:rPr>
              <w:t xml:space="preserve">4,320,000</w:t>
            </w:r>
          </w:p>
        </w:tc>
        <w:tc>
          <w:tcPr>
            <w:tcW w:type="pct" w:w="858"/>
            <w:shd w:fill="FBFAF6" w:val="clear"/>
            <w:tcMar>
              <w:top w:type="dxa" w:w="50"/>
              <w:left w:type="dxa" w:w="110"/>
              <w:bottom w:type="dxa" w:w="50"/>
              <w:right w:type="dxa" w:w="110"/>
            </w:tcMar>
          </w:tcPr>
          <w:p>
            <w:pPr>
              <w:spacing w:before="28" w:after="28"/>
            </w:pPr>
            <w:r>
              <w:rPr>
                <w:sz w:val="15"/>
                <w:szCs w:val="15"/>
              </w:rPr>
              <w:t xml:space="preserve">4,620,000</w:t>
            </w:r>
          </w:p>
        </w:tc>
        <w:tc>
          <w:tcPr>
            <w:tcW w:type="pct" w:w="811"/>
            <w:shd w:fill="FBFAF6" w:val="clear"/>
            <w:tcMar>
              <w:top w:type="dxa" w:w="50"/>
              <w:left w:type="dxa" w:w="110"/>
              <w:bottom w:type="dxa" w:w="50"/>
              <w:right w:type="dxa" w:w="110"/>
            </w:tcMar>
          </w:tcPr>
          <w:p>
            <w:pPr>
              <w:spacing w:before="28" w:after="28"/>
            </w:pPr>
            <w:r>
              <w:rPr>
                <w:sz w:val="15"/>
                <w:szCs w:val="15"/>
              </w:rPr>
              <w:t xml:space="preserve">4,680,000</w:t>
            </w:r>
          </w:p>
        </w:tc>
      </w:tr>
      <w:tr>
        <w:tc>
          <w:tcPr>
            <w:tcW w:type="pct" w:w="1614"/>
            <w:tcMar>
              <w:top w:type="dxa" w:w="50"/>
              <w:left w:type="dxa" w:w="110"/>
              <w:bottom w:type="dxa" w:w="50"/>
              <w:right w:type="dxa" w:w="110"/>
            </w:tcMar>
          </w:tcPr>
          <w:p>
            <w:pPr>
              <w:spacing w:before="28" w:after="28"/>
            </w:pPr>
            <w:r>
              <w:rPr>
                <w:sz w:val="15"/>
                <w:szCs w:val="15"/>
              </w:rPr>
              <w:t xml:space="preserve">= Cash available</w:t>
            </w:r>
          </w:p>
        </w:tc>
        <w:tc>
          <w:tcPr>
            <w:tcW w:type="pct" w:w="863"/>
            <w:tcMar>
              <w:top w:type="dxa" w:w="50"/>
              <w:left w:type="dxa" w:w="110"/>
              <w:bottom w:type="dxa" w:w="50"/>
              <w:right w:type="dxa" w:w="110"/>
            </w:tcMar>
          </w:tcPr>
          <w:p>
            <w:pPr>
              <w:spacing w:before="28" w:after="28"/>
            </w:pPr>
            <w:r>
              <w:rPr>
                <w:sz w:val="15"/>
                <w:szCs w:val="15"/>
              </w:rPr>
              <w:t xml:space="preserve">4,640,000</w:t>
            </w:r>
          </w:p>
        </w:tc>
        <w:tc>
          <w:tcPr>
            <w:tcW w:type="pct" w:w="854"/>
            <w:tcMar>
              <w:top w:type="dxa" w:w="50"/>
              <w:left w:type="dxa" w:w="110"/>
              <w:bottom w:type="dxa" w:w="50"/>
              <w:right w:type="dxa" w:w="110"/>
            </w:tcMar>
          </w:tcPr>
          <w:p>
            <w:pPr>
              <w:spacing w:before="28" w:after="28"/>
            </w:pPr>
            <w:r>
              <w:rPr>
                <w:sz w:val="15"/>
                <w:szCs w:val="15"/>
              </w:rPr>
              <w:t xml:space="preserve">4,776,250</w:t>
            </w:r>
          </w:p>
        </w:tc>
        <w:tc>
          <w:tcPr>
            <w:tcW w:type="pct" w:w="858"/>
            <w:tcMar>
              <w:top w:type="dxa" w:w="50"/>
              <w:left w:type="dxa" w:w="110"/>
              <w:bottom w:type="dxa" w:w="50"/>
              <w:right w:type="dxa" w:w="110"/>
            </w:tcMar>
          </w:tcPr>
          <w:p>
            <w:pPr>
              <w:spacing w:before="28" w:after="28"/>
            </w:pPr>
            <w:r>
              <w:rPr>
                <w:sz w:val="15"/>
                <w:szCs w:val="15"/>
              </w:rPr>
              <w:t xml:space="preserve">5,023,470</w:t>
            </w:r>
          </w:p>
        </w:tc>
        <w:tc>
          <w:tcPr>
            <w:tcW w:type="pct" w:w="811"/>
            <w:tcMar>
              <w:top w:type="dxa" w:w="50"/>
              <w:left w:type="dxa" w:w="110"/>
              <w:bottom w:type="dxa" w:w="50"/>
              <w:right w:type="dxa" w:w="110"/>
            </w:tcMar>
          </w:tcPr>
          <w:p>
            <w:pPr>
              <w:spacing w:before="28" w:after="28"/>
            </w:pPr>
            <w:r>
              <w:rPr>
                <w:sz w:val="15"/>
                <w:szCs w:val="15"/>
              </w:rPr>
              <w:t xml:space="preserve">5,218,920</w:t>
            </w:r>
          </w:p>
        </w:tc>
      </w:tr>
      <w:tr>
        <w:tc>
          <w:tcPr>
            <w:tcW w:type="pct" w:w="1614"/>
            <w:shd w:fill="FBFAF6" w:val="clear"/>
            <w:tcMar>
              <w:top w:type="dxa" w:w="50"/>
              <w:left w:type="dxa" w:w="110"/>
              <w:bottom w:type="dxa" w:w="50"/>
              <w:right w:type="dxa" w:w="110"/>
            </w:tcMar>
          </w:tcPr>
          <w:p>
            <w:pPr>
              <w:spacing w:before="28" w:after="28"/>
            </w:pPr>
            <w:r>
              <w:rPr>
                <w:sz w:val="15"/>
                <w:szCs w:val="15"/>
              </w:rPr>
              <w:t xml:space="preserve">Concentrate</w:t>
            </w:r>
          </w:p>
        </w:tc>
        <w:tc>
          <w:tcPr>
            <w:tcW w:type="pct" w:w="863"/>
            <w:shd w:fill="FBFAF6" w:val="clear"/>
            <w:tcMar>
              <w:top w:type="dxa" w:w="50"/>
              <w:left w:type="dxa" w:w="110"/>
              <w:bottom w:type="dxa" w:w="50"/>
              <w:right w:type="dxa" w:w="110"/>
            </w:tcMar>
          </w:tcPr>
          <w:p>
            <w:pPr>
              <w:spacing w:before="28" w:after="28"/>
            </w:pPr>
            <w:r>
              <w:rPr>
                <w:sz w:val="15"/>
                <w:szCs w:val="15"/>
              </w:rPr>
              <w:t xml:space="preserve">(1,154,150)</w:t>
            </w:r>
          </w:p>
        </w:tc>
        <w:tc>
          <w:tcPr>
            <w:tcW w:type="pct" w:w="854"/>
            <w:shd w:fill="FBFAF6" w:val="clear"/>
            <w:tcMar>
              <w:top w:type="dxa" w:w="50"/>
              <w:left w:type="dxa" w:w="110"/>
              <w:bottom w:type="dxa" w:w="50"/>
              <w:right w:type="dxa" w:w="110"/>
            </w:tcMar>
          </w:tcPr>
          <w:p>
            <w:pPr>
              <w:spacing w:before="28" w:after="28"/>
            </w:pPr>
            <w:r>
              <w:rPr>
                <w:sz w:val="15"/>
                <w:szCs w:val="15"/>
              </w:rPr>
              <w:t xml:space="preserve">(1,197,180)</w:t>
            </w:r>
          </w:p>
        </w:tc>
        <w:tc>
          <w:tcPr>
            <w:tcW w:type="pct" w:w="858"/>
            <w:shd w:fill="FBFAF6" w:val="clear"/>
            <w:tcMar>
              <w:top w:type="dxa" w:w="50"/>
              <w:left w:type="dxa" w:w="110"/>
              <w:bottom w:type="dxa" w:w="50"/>
              <w:right w:type="dxa" w:w="110"/>
            </w:tcMar>
          </w:tcPr>
          <w:p>
            <w:pPr>
              <w:spacing w:before="28" w:after="28"/>
            </w:pPr>
            <w:r>
              <w:rPr>
                <w:sz w:val="15"/>
                <w:szCs w:val="15"/>
              </w:rPr>
              <w:t xml:space="preserve">(1,254,150)</w:t>
            </w:r>
          </w:p>
        </w:tc>
        <w:tc>
          <w:tcPr>
            <w:tcW w:type="pct" w:w="811"/>
            <w:shd w:fill="FBFAF6" w:val="clear"/>
            <w:tcMar>
              <w:top w:type="dxa" w:w="50"/>
              <w:left w:type="dxa" w:w="110"/>
              <w:bottom w:type="dxa" w:w="50"/>
              <w:right w:type="dxa" w:w="110"/>
            </w:tcMar>
          </w:tcPr>
          <w:p>
            <w:pPr>
              <w:spacing w:before="28" w:after="28"/>
            </w:pPr>
            <w:r>
              <w:rPr>
                <w:sz w:val="15"/>
                <w:szCs w:val="15"/>
              </w:rPr>
              <w:t xml:space="preserve">(1,236,870)</w:t>
            </w:r>
          </w:p>
        </w:tc>
      </w:tr>
      <w:tr>
        <w:tc>
          <w:tcPr>
            <w:tcW w:type="pct" w:w="1614"/>
            <w:tcMar>
              <w:top w:type="dxa" w:w="50"/>
              <w:left w:type="dxa" w:w="110"/>
              <w:bottom w:type="dxa" w:w="50"/>
              <w:right w:type="dxa" w:w="110"/>
            </w:tcMar>
          </w:tcPr>
          <w:p>
            <w:pPr>
              <w:spacing w:before="28" w:after="28"/>
            </w:pPr>
            <w:r>
              <w:rPr>
                <w:sz w:val="15"/>
                <w:szCs w:val="15"/>
              </w:rPr>
              <w:t xml:space="preserve">Bottles, caps and cartons</w:t>
            </w:r>
          </w:p>
        </w:tc>
        <w:tc>
          <w:tcPr>
            <w:tcW w:type="pct" w:w="863"/>
            <w:tcMar>
              <w:top w:type="dxa" w:w="50"/>
              <w:left w:type="dxa" w:w="110"/>
              <w:bottom w:type="dxa" w:w="50"/>
              <w:right w:type="dxa" w:w="110"/>
            </w:tcMar>
          </w:tcPr>
          <w:p>
            <w:pPr>
              <w:spacing w:before="28" w:after="28"/>
            </w:pPr>
            <w:r>
              <w:rPr>
                <w:sz w:val="15"/>
                <w:szCs w:val="15"/>
              </w:rPr>
              <w:t xml:space="preserve">(766,800)</w:t>
            </w:r>
          </w:p>
        </w:tc>
        <w:tc>
          <w:tcPr>
            <w:tcW w:type="pct" w:w="854"/>
            <w:tcMar>
              <w:top w:type="dxa" w:w="50"/>
              <w:left w:type="dxa" w:w="110"/>
              <w:bottom w:type="dxa" w:w="50"/>
              <w:right w:type="dxa" w:w="110"/>
            </w:tcMar>
          </w:tcPr>
          <w:p>
            <w:pPr>
              <w:spacing w:before="28" w:after="28"/>
            </w:pPr>
            <w:r>
              <w:rPr>
                <w:sz w:val="15"/>
                <w:szCs w:val="15"/>
              </w:rPr>
              <w:t xml:space="preserve">(820,800)</w:t>
            </w:r>
          </w:p>
        </w:tc>
        <w:tc>
          <w:tcPr>
            <w:tcW w:type="pct" w:w="858"/>
            <w:tcMar>
              <w:top w:type="dxa" w:w="50"/>
              <w:left w:type="dxa" w:w="110"/>
              <w:bottom w:type="dxa" w:w="50"/>
              <w:right w:type="dxa" w:w="110"/>
            </w:tcMar>
          </w:tcPr>
          <w:p>
            <w:pPr>
              <w:spacing w:before="28" w:after="28"/>
            </w:pPr>
            <w:r>
              <w:rPr>
                <w:sz w:val="15"/>
                <w:szCs w:val="15"/>
              </w:rPr>
              <w:t xml:space="preserve">(853,200)</w:t>
            </w:r>
          </w:p>
        </w:tc>
        <w:tc>
          <w:tcPr>
            <w:tcW w:type="pct" w:w="811"/>
            <w:tcMar>
              <w:top w:type="dxa" w:w="50"/>
              <w:left w:type="dxa" w:w="110"/>
              <w:bottom w:type="dxa" w:w="50"/>
              <w:right w:type="dxa" w:w="110"/>
            </w:tcMar>
          </w:tcPr>
          <w:p>
            <w:pPr>
              <w:spacing w:before="28" w:after="28"/>
            </w:pPr>
            <w:r>
              <w:rPr>
                <w:sz w:val="15"/>
                <w:szCs w:val="15"/>
              </w:rPr>
              <w:t xml:space="preserve">(802,800)</w:t>
            </w:r>
          </w:p>
        </w:tc>
      </w:tr>
      <w:tr>
        <w:tc>
          <w:tcPr>
            <w:tcW w:type="pct" w:w="1614"/>
            <w:shd w:fill="FBFAF6" w:val="clear"/>
            <w:tcMar>
              <w:top w:type="dxa" w:w="50"/>
              <w:left w:type="dxa" w:w="110"/>
              <w:bottom w:type="dxa" w:w="50"/>
              <w:right w:type="dxa" w:w="110"/>
            </w:tcMar>
          </w:tcPr>
          <w:p>
            <w:pPr>
              <w:spacing w:before="28" w:after="28"/>
            </w:pPr>
            <w:r>
              <w:rPr>
                <w:sz w:val="15"/>
                <w:szCs w:val="15"/>
              </w:rPr>
              <w:t xml:space="preserve">Direct labor</w:t>
            </w:r>
          </w:p>
        </w:tc>
        <w:tc>
          <w:tcPr>
            <w:tcW w:type="pct" w:w="863"/>
            <w:shd w:fill="FBFAF6" w:val="clear"/>
            <w:tcMar>
              <w:top w:type="dxa" w:w="50"/>
              <w:left w:type="dxa" w:w="110"/>
              <w:bottom w:type="dxa" w:w="50"/>
              <w:right w:type="dxa" w:w="110"/>
            </w:tcMar>
          </w:tcPr>
          <w:p>
            <w:pPr>
              <w:spacing w:before="28" w:after="28"/>
            </w:pPr>
            <w:r>
              <w:rPr>
                <w:sz w:val="15"/>
                <w:szCs w:val="15"/>
              </w:rPr>
              <w:t xml:space="preserve">(127,800)</w:t>
            </w:r>
          </w:p>
        </w:tc>
        <w:tc>
          <w:tcPr>
            <w:tcW w:type="pct" w:w="854"/>
            <w:shd w:fill="FBFAF6" w:val="clear"/>
            <w:tcMar>
              <w:top w:type="dxa" w:w="50"/>
              <w:left w:type="dxa" w:w="110"/>
              <w:bottom w:type="dxa" w:w="50"/>
              <w:right w:type="dxa" w:w="110"/>
            </w:tcMar>
          </w:tcPr>
          <w:p>
            <w:pPr>
              <w:spacing w:before="28" w:after="28"/>
            </w:pPr>
            <w:r>
              <w:rPr>
                <w:sz w:val="15"/>
                <w:szCs w:val="15"/>
              </w:rPr>
              <w:t xml:space="preserve">(136,800)</w:t>
            </w:r>
          </w:p>
        </w:tc>
        <w:tc>
          <w:tcPr>
            <w:tcW w:type="pct" w:w="858"/>
            <w:shd w:fill="FBFAF6" w:val="clear"/>
            <w:tcMar>
              <w:top w:type="dxa" w:w="50"/>
              <w:left w:type="dxa" w:w="110"/>
              <w:bottom w:type="dxa" w:w="50"/>
              <w:right w:type="dxa" w:w="110"/>
            </w:tcMar>
          </w:tcPr>
          <w:p>
            <w:pPr>
              <w:spacing w:before="28" w:after="28"/>
            </w:pPr>
            <w:r>
              <w:rPr>
                <w:sz w:val="15"/>
                <w:szCs w:val="15"/>
              </w:rPr>
              <w:t xml:space="preserve">(142,200)</w:t>
            </w:r>
          </w:p>
        </w:tc>
        <w:tc>
          <w:tcPr>
            <w:tcW w:type="pct" w:w="811"/>
            <w:shd w:fill="FBFAF6" w:val="clear"/>
            <w:tcMar>
              <w:top w:type="dxa" w:w="50"/>
              <w:left w:type="dxa" w:w="110"/>
              <w:bottom w:type="dxa" w:w="50"/>
              <w:right w:type="dxa" w:w="110"/>
            </w:tcMar>
          </w:tcPr>
          <w:p>
            <w:pPr>
              <w:spacing w:before="28" w:after="28"/>
            </w:pPr>
            <w:r>
              <w:rPr>
                <w:sz w:val="15"/>
                <w:szCs w:val="15"/>
              </w:rPr>
              <w:t xml:space="preserve">(133,800)</w:t>
            </w:r>
          </w:p>
        </w:tc>
      </w:tr>
      <w:tr>
        <w:tc>
          <w:tcPr>
            <w:tcW w:type="pct" w:w="1614"/>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863"/>
            <w:tcMar>
              <w:top w:type="dxa" w:w="50"/>
              <w:left w:type="dxa" w:w="110"/>
              <w:bottom w:type="dxa" w:w="50"/>
              <w:right w:type="dxa" w:w="110"/>
            </w:tcMar>
          </w:tcPr>
          <w:p>
            <w:pPr>
              <w:spacing w:before="28" w:after="28"/>
            </w:pPr>
            <w:r>
              <w:rPr>
                <w:sz w:val="15"/>
                <w:szCs w:val="15"/>
              </w:rPr>
              <w:t xml:space="preserve">(213,000)</w:t>
            </w:r>
          </w:p>
        </w:tc>
        <w:tc>
          <w:tcPr>
            <w:tcW w:type="pct" w:w="854"/>
            <w:tcMar>
              <w:top w:type="dxa" w:w="50"/>
              <w:left w:type="dxa" w:w="110"/>
              <w:bottom w:type="dxa" w:w="50"/>
              <w:right w:type="dxa" w:w="110"/>
            </w:tcMar>
          </w:tcPr>
          <w:p>
            <w:pPr>
              <w:spacing w:before="28" w:after="28"/>
            </w:pPr>
            <w:r>
              <w:rPr>
                <w:sz w:val="15"/>
                <w:szCs w:val="15"/>
              </w:rPr>
              <w:t xml:space="preserve">(228,000)</w:t>
            </w:r>
          </w:p>
        </w:tc>
        <w:tc>
          <w:tcPr>
            <w:tcW w:type="pct" w:w="858"/>
            <w:tcMar>
              <w:top w:type="dxa" w:w="50"/>
              <w:left w:type="dxa" w:w="110"/>
              <w:bottom w:type="dxa" w:w="50"/>
              <w:right w:type="dxa" w:w="110"/>
            </w:tcMar>
          </w:tcPr>
          <w:p>
            <w:pPr>
              <w:spacing w:before="28" w:after="28"/>
            </w:pPr>
            <w:r>
              <w:rPr>
                <w:sz w:val="15"/>
                <w:szCs w:val="15"/>
              </w:rPr>
              <w:t xml:space="preserve">(237,000)</w:t>
            </w:r>
          </w:p>
        </w:tc>
        <w:tc>
          <w:tcPr>
            <w:tcW w:type="pct" w:w="811"/>
            <w:tcMar>
              <w:top w:type="dxa" w:w="50"/>
              <w:left w:type="dxa" w:w="110"/>
              <w:bottom w:type="dxa" w:w="50"/>
              <w:right w:type="dxa" w:w="110"/>
            </w:tcMar>
          </w:tcPr>
          <w:p>
            <w:pPr>
              <w:spacing w:before="28" w:after="28"/>
            </w:pPr>
            <w:r>
              <w:rPr>
                <w:sz w:val="15"/>
                <w:szCs w:val="15"/>
              </w:rPr>
              <w:t xml:space="preserve">(223,000)</w:t>
            </w:r>
          </w:p>
        </w:tc>
      </w:tr>
      <w:tr>
        <w:tc>
          <w:tcPr>
            <w:tcW w:type="pct" w:w="1614"/>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863"/>
            <w:shd w:fill="FBFAF6" w:val="clear"/>
            <w:tcMar>
              <w:top w:type="dxa" w:w="50"/>
              <w:left w:type="dxa" w:w="110"/>
              <w:bottom w:type="dxa" w:w="50"/>
              <w:right w:type="dxa" w:w="110"/>
            </w:tcMar>
          </w:tcPr>
          <w:p>
            <w:pPr>
              <w:spacing w:before="28" w:after="28"/>
            </w:pPr>
            <w:r>
              <w:rPr>
                <w:sz w:val="15"/>
                <w:szCs w:val="15"/>
              </w:rPr>
              <w:t xml:space="preserve">(300,000)</w:t>
            </w:r>
          </w:p>
        </w:tc>
        <w:tc>
          <w:tcPr>
            <w:tcW w:type="pct" w:w="854"/>
            <w:shd w:fill="FBFAF6" w:val="clear"/>
            <w:tcMar>
              <w:top w:type="dxa" w:w="50"/>
              <w:left w:type="dxa" w:w="110"/>
              <w:bottom w:type="dxa" w:w="50"/>
              <w:right w:type="dxa" w:w="110"/>
            </w:tcMar>
          </w:tcPr>
          <w:p>
            <w:pPr>
              <w:spacing w:before="28" w:after="28"/>
            </w:pPr>
            <w:r>
              <w:rPr>
                <w:sz w:val="15"/>
                <w:szCs w:val="15"/>
              </w:rPr>
              <w:t xml:space="preserve">(300,000)</w:t>
            </w:r>
          </w:p>
        </w:tc>
        <w:tc>
          <w:tcPr>
            <w:tcW w:type="pct" w:w="858"/>
            <w:shd w:fill="FBFAF6" w:val="clear"/>
            <w:tcMar>
              <w:top w:type="dxa" w:w="50"/>
              <w:left w:type="dxa" w:w="110"/>
              <w:bottom w:type="dxa" w:w="50"/>
              <w:right w:type="dxa" w:w="110"/>
            </w:tcMar>
          </w:tcPr>
          <w:p>
            <w:pPr>
              <w:spacing w:before="28" w:after="28"/>
            </w:pPr>
            <w:r>
              <w:rPr>
                <w:sz w:val="15"/>
                <w:szCs w:val="15"/>
              </w:rPr>
              <w:t xml:space="preserve">(300,000)</w:t>
            </w:r>
          </w:p>
        </w:tc>
        <w:tc>
          <w:tcPr>
            <w:tcW w:type="pct" w:w="811"/>
            <w:shd w:fill="FBFAF6" w:val="clear"/>
            <w:tcMar>
              <w:top w:type="dxa" w:w="50"/>
              <w:left w:type="dxa" w:w="110"/>
              <w:bottom w:type="dxa" w:w="50"/>
              <w:right w:type="dxa" w:w="110"/>
            </w:tcMar>
          </w:tcPr>
          <w:p>
            <w:pPr>
              <w:spacing w:before="28" w:after="28"/>
            </w:pPr>
            <w:r>
              <w:rPr>
                <w:sz w:val="15"/>
                <w:szCs w:val="15"/>
              </w:rPr>
              <w:t xml:space="preserve">(300,000)</w:t>
            </w:r>
          </w:p>
        </w:tc>
      </w:tr>
      <w:tr>
        <w:tc>
          <w:tcPr>
            <w:tcW w:type="pct" w:w="1614"/>
            <w:tcMar>
              <w:top w:type="dxa" w:w="50"/>
              <w:left w:type="dxa" w:w="110"/>
              <w:bottom w:type="dxa" w:w="50"/>
              <w:right w:type="dxa" w:w="110"/>
            </w:tcMar>
          </w:tcPr>
          <w:p>
            <w:pPr>
              <w:spacing w:before="28" w:after="28"/>
            </w:pPr>
            <w:r>
              <w:rPr>
                <w:sz w:val="15"/>
                <w:szCs w:val="15"/>
              </w:rPr>
              <w:t xml:space="preserve">Variable selling</w:t>
            </w:r>
          </w:p>
        </w:tc>
        <w:tc>
          <w:tcPr>
            <w:tcW w:type="pct" w:w="863"/>
            <w:tcMar>
              <w:top w:type="dxa" w:w="50"/>
              <w:left w:type="dxa" w:w="110"/>
              <w:bottom w:type="dxa" w:w="50"/>
              <w:right w:type="dxa" w:w="110"/>
            </w:tcMar>
          </w:tcPr>
          <w:p>
            <w:pPr>
              <w:spacing w:before="28" w:after="28"/>
            </w:pPr>
            <w:r>
              <w:rPr>
                <w:sz w:val="15"/>
                <w:szCs w:val="15"/>
              </w:rPr>
              <w:t xml:space="preserve">(252,000)</w:t>
            </w:r>
          </w:p>
        </w:tc>
        <w:tc>
          <w:tcPr>
            <w:tcW w:type="pct" w:w="854"/>
            <w:tcMar>
              <w:top w:type="dxa" w:w="50"/>
              <w:left w:type="dxa" w:w="110"/>
              <w:bottom w:type="dxa" w:w="50"/>
              <w:right w:type="dxa" w:w="110"/>
            </w:tcMar>
          </w:tcPr>
          <w:p>
            <w:pPr>
              <w:spacing w:before="28" w:after="28"/>
            </w:pPr>
            <w:r>
              <w:rPr>
                <w:sz w:val="15"/>
                <w:szCs w:val="15"/>
              </w:rPr>
              <w:t xml:space="preserve">(270,000)</w:t>
            </w:r>
          </w:p>
        </w:tc>
        <w:tc>
          <w:tcPr>
            <w:tcW w:type="pct" w:w="858"/>
            <w:tcMar>
              <w:top w:type="dxa" w:w="50"/>
              <w:left w:type="dxa" w:w="110"/>
              <w:bottom w:type="dxa" w:w="50"/>
              <w:right w:type="dxa" w:w="110"/>
            </w:tcMar>
          </w:tcPr>
          <w:p>
            <w:pPr>
              <w:spacing w:before="28" w:after="28"/>
            </w:pPr>
            <w:r>
              <w:rPr>
                <w:sz w:val="15"/>
                <w:szCs w:val="15"/>
              </w:rPr>
              <w:t xml:space="preserve">(288,000)</w:t>
            </w:r>
          </w:p>
        </w:tc>
        <w:tc>
          <w:tcPr>
            <w:tcW w:type="pct" w:w="811"/>
            <w:tcMar>
              <w:top w:type="dxa" w:w="50"/>
              <w:left w:type="dxa" w:w="110"/>
              <w:bottom w:type="dxa" w:w="50"/>
              <w:right w:type="dxa" w:w="110"/>
            </w:tcMar>
          </w:tcPr>
          <w:p>
            <w:pPr>
              <w:spacing w:before="28" w:after="28"/>
            </w:pPr>
            <w:r>
              <w:rPr>
                <w:sz w:val="15"/>
                <w:szCs w:val="15"/>
              </w:rPr>
              <w:t xml:space="preserve">(270,000)</w:t>
            </w:r>
          </w:p>
        </w:tc>
      </w:tr>
      <w:tr>
        <w:tc>
          <w:tcPr>
            <w:tcW w:type="pct" w:w="1614"/>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863"/>
            <w:shd w:fill="FBFAF6" w:val="clear"/>
            <w:tcMar>
              <w:top w:type="dxa" w:w="50"/>
              <w:left w:type="dxa" w:w="110"/>
              <w:bottom w:type="dxa" w:w="50"/>
              <w:right w:type="dxa" w:w="110"/>
            </w:tcMar>
          </w:tcPr>
          <w:p>
            <w:pPr>
              <w:spacing w:before="28" w:after="28"/>
            </w:pPr>
            <w:r>
              <w:rPr>
                <w:sz w:val="15"/>
                <w:szCs w:val="15"/>
              </w:rPr>
              <w:t xml:space="preserve">(550,000)</w:t>
            </w:r>
          </w:p>
        </w:tc>
        <w:tc>
          <w:tcPr>
            <w:tcW w:type="pct" w:w="854"/>
            <w:shd w:fill="FBFAF6" w:val="clear"/>
            <w:tcMar>
              <w:top w:type="dxa" w:w="50"/>
              <w:left w:type="dxa" w:w="110"/>
              <w:bottom w:type="dxa" w:w="50"/>
              <w:right w:type="dxa" w:w="110"/>
            </w:tcMar>
          </w:tcPr>
          <w:p>
            <w:pPr>
              <w:spacing w:before="28" w:after="28"/>
            </w:pPr>
            <w:r>
              <w:rPr>
                <w:sz w:val="15"/>
                <w:szCs w:val="15"/>
              </w:rPr>
              <w:t xml:space="preserve">(550,000)</w:t>
            </w:r>
          </w:p>
        </w:tc>
        <w:tc>
          <w:tcPr>
            <w:tcW w:type="pct" w:w="858"/>
            <w:shd w:fill="FBFAF6" w:val="clear"/>
            <w:tcMar>
              <w:top w:type="dxa" w:w="50"/>
              <w:left w:type="dxa" w:w="110"/>
              <w:bottom w:type="dxa" w:w="50"/>
              <w:right w:type="dxa" w:w="110"/>
            </w:tcMar>
          </w:tcPr>
          <w:p>
            <w:pPr>
              <w:spacing w:before="28" w:after="28"/>
            </w:pPr>
            <w:r>
              <w:rPr>
                <w:sz w:val="15"/>
                <w:szCs w:val="15"/>
              </w:rPr>
              <w:t xml:space="preserve">(550,000)</w:t>
            </w:r>
          </w:p>
        </w:tc>
        <w:tc>
          <w:tcPr>
            <w:tcW w:type="pct" w:w="811"/>
            <w:shd w:fill="FBFAF6" w:val="clear"/>
            <w:tcMar>
              <w:top w:type="dxa" w:w="50"/>
              <w:left w:type="dxa" w:w="110"/>
              <w:bottom w:type="dxa" w:w="50"/>
              <w:right w:type="dxa" w:w="110"/>
            </w:tcMar>
          </w:tcPr>
          <w:p>
            <w:pPr>
              <w:spacing w:before="28" w:after="28"/>
            </w:pPr>
            <w:r>
              <w:rPr>
                <w:sz w:val="15"/>
                <w:szCs w:val="15"/>
              </w:rPr>
              <w:t xml:space="preserve">(550,000)</w:t>
            </w:r>
          </w:p>
        </w:tc>
      </w:tr>
      <w:tr>
        <w:tc>
          <w:tcPr>
            <w:tcW w:type="pct" w:w="1614"/>
            <w:tcMar>
              <w:top w:type="dxa" w:w="50"/>
              <w:left w:type="dxa" w:w="110"/>
              <w:bottom w:type="dxa" w:w="50"/>
              <w:right w:type="dxa" w:w="110"/>
            </w:tcMar>
          </w:tcPr>
          <w:p>
            <w:pPr>
              <w:spacing w:before="28" w:after="28"/>
            </w:pPr>
            <w:r>
              <w:rPr>
                <w:sz w:val="15"/>
                <w:szCs w:val="15"/>
              </w:rPr>
              <w:t xml:space="preserve">Capital expenditure</w:t>
            </w:r>
          </w:p>
        </w:tc>
        <w:tc>
          <w:tcPr>
            <w:tcW w:type="pct" w:w="863"/>
            <w:tcMar>
              <w:top w:type="dxa" w:w="50"/>
              <w:left w:type="dxa" w:w="110"/>
              <w:bottom w:type="dxa" w:w="50"/>
              <w:right w:type="dxa" w:w="110"/>
            </w:tcMar>
          </w:tcPr>
          <w:p>
            <w:pPr>
              <w:spacing w:before="28" w:after="28"/>
            </w:pPr>
            <w:r>
              <w:rPr>
                <w:sz w:val="15"/>
                <w:szCs w:val="15"/>
              </w:rPr>
              <w:t xml:space="preserve">(1,800,000)</w:t>
            </w:r>
          </w:p>
        </w:tc>
        <w:tc>
          <w:tcPr>
            <w:tcW w:type="pct" w:w="854"/>
            <w:tcMar>
              <w:top w:type="dxa" w:w="50"/>
              <w:left w:type="dxa" w:w="110"/>
              <w:bottom w:type="dxa" w:w="50"/>
              <w:right w:type="dxa" w:w="110"/>
            </w:tcMar>
          </w:tcPr>
          <w:p>
            <w:pPr>
              <w:spacing w:before="28" w:after="28"/>
            </w:pPr>
            <w:r>
              <w:rPr>
                <w:sz w:val="15"/>
                <w:szCs w:val="15"/>
              </w:rPr>
              <w:t xml:space="preserve">(350,000)</w:t>
            </w:r>
          </w:p>
        </w:tc>
        <w:tc>
          <w:tcPr>
            <w:tcW w:type="pct" w:w="858"/>
            <w:tcMar>
              <w:top w:type="dxa" w:w="50"/>
              <w:left w:type="dxa" w:w="110"/>
              <w:bottom w:type="dxa" w:w="50"/>
              <w:right w:type="dxa" w:w="110"/>
            </w:tcMar>
          </w:tcPr>
          <w:p>
            <w:pPr>
              <w:spacing w:before="28" w:after="28"/>
            </w:pPr>
            <w:r>
              <w:rPr>
                <w:sz w:val="15"/>
                <w:szCs w:val="15"/>
              </w:rPr>
              <w:t xml:space="preserve">(350,000)</w:t>
            </w:r>
          </w:p>
        </w:tc>
        <w:tc>
          <w:tcPr>
            <w:tcW w:type="pct" w:w="811"/>
            <w:tcMar>
              <w:top w:type="dxa" w:w="50"/>
              <w:left w:type="dxa" w:w="110"/>
              <w:bottom w:type="dxa" w:w="50"/>
              <w:right w:type="dxa" w:w="110"/>
            </w:tcMar>
          </w:tcPr>
          <w:p>
            <w:pPr>
              <w:spacing w:before="28" w:after="28"/>
            </w:pPr>
            <w:r>
              <w:rPr>
                <w:sz w:val="15"/>
                <w:szCs w:val="15"/>
              </w:rPr>
              <w:t xml:space="preserve">—</w:t>
            </w:r>
          </w:p>
        </w:tc>
      </w:tr>
      <w:tr>
        <w:tc>
          <w:tcPr>
            <w:tcW w:type="pct" w:w="1614"/>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863"/>
            <w:shd w:fill="FBFAF6" w:val="clear"/>
            <w:tcMar>
              <w:top w:type="dxa" w:w="50"/>
              <w:left w:type="dxa" w:w="110"/>
              <w:bottom w:type="dxa" w:w="50"/>
              <w:right w:type="dxa" w:w="110"/>
            </w:tcMar>
          </w:tcPr>
          <w:p>
            <w:pPr>
              <w:spacing w:before="28" w:after="28"/>
            </w:pPr>
            <w:r>
              <w:rPr>
                <w:sz w:val="15"/>
                <w:szCs w:val="15"/>
              </w:rPr>
              <w:t xml:space="preserve">5,163,750</w:t>
            </w:r>
          </w:p>
        </w:tc>
        <w:tc>
          <w:tcPr>
            <w:tcW w:type="pct" w:w="854"/>
            <w:shd w:fill="FBFAF6" w:val="clear"/>
            <w:tcMar>
              <w:top w:type="dxa" w:w="50"/>
              <w:left w:type="dxa" w:w="110"/>
              <w:bottom w:type="dxa" w:w="50"/>
              <w:right w:type="dxa" w:w="110"/>
            </w:tcMar>
          </w:tcPr>
          <w:p>
            <w:pPr>
              <w:spacing w:before="28" w:after="28"/>
            </w:pPr>
            <w:r>
              <w:rPr>
                <w:sz w:val="15"/>
                <w:szCs w:val="15"/>
              </w:rPr>
              <w:t xml:space="preserve">3,852,780</w:t>
            </w:r>
          </w:p>
        </w:tc>
        <w:tc>
          <w:tcPr>
            <w:tcW w:type="pct" w:w="858"/>
            <w:shd w:fill="FBFAF6" w:val="clear"/>
            <w:tcMar>
              <w:top w:type="dxa" w:w="50"/>
              <w:left w:type="dxa" w:w="110"/>
              <w:bottom w:type="dxa" w:w="50"/>
              <w:right w:type="dxa" w:w="110"/>
            </w:tcMar>
          </w:tcPr>
          <w:p>
            <w:pPr>
              <w:spacing w:before="28" w:after="28"/>
            </w:pPr>
            <w:r>
              <w:rPr>
                <w:sz w:val="15"/>
                <w:szCs w:val="15"/>
              </w:rPr>
              <w:t xml:space="preserve">3,974,550</w:t>
            </w:r>
          </w:p>
        </w:tc>
        <w:tc>
          <w:tcPr>
            <w:tcW w:type="pct" w:w="811"/>
            <w:shd w:fill="FBFAF6" w:val="clear"/>
            <w:tcMar>
              <w:top w:type="dxa" w:w="50"/>
              <w:left w:type="dxa" w:w="110"/>
              <w:bottom w:type="dxa" w:w="50"/>
              <w:right w:type="dxa" w:w="110"/>
            </w:tcMar>
          </w:tcPr>
          <w:p>
            <w:pPr>
              <w:spacing w:before="28" w:after="28"/>
            </w:pPr>
            <w:r>
              <w:rPr>
                <w:sz w:val="15"/>
                <w:szCs w:val="15"/>
              </w:rPr>
              <w:t xml:space="preserve">3,516,470</w:t>
            </w:r>
          </w:p>
        </w:tc>
      </w:tr>
      <w:tr>
        <w:tc>
          <w:tcPr>
            <w:tcW w:type="pct" w:w="1614"/>
            <w:tcMar>
              <w:top w:type="dxa" w:w="50"/>
              <w:left w:type="dxa" w:w="110"/>
              <w:bottom w:type="dxa" w:w="50"/>
              <w:right w:type="dxa" w:w="110"/>
            </w:tcMar>
          </w:tcPr>
          <w:p>
            <w:pPr>
              <w:spacing w:before="28" w:after="28"/>
            </w:pPr>
            <w:r>
              <w:rPr>
                <w:sz w:val="15"/>
                <w:szCs w:val="15"/>
              </w:rPr>
              <w:t xml:space="preserve">Cash before financing</w:t>
            </w:r>
          </w:p>
        </w:tc>
        <w:tc>
          <w:tcPr>
            <w:tcW w:type="pct" w:w="863"/>
            <w:tcMar>
              <w:top w:type="dxa" w:w="50"/>
              <w:left w:type="dxa" w:w="110"/>
              <w:bottom w:type="dxa" w:w="50"/>
              <w:right w:type="dxa" w:w="110"/>
            </w:tcMar>
          </w:tcPr>
          <w:p>
            <w:pPr>
              <w:spacing w:before="28" w:after="28"/>
            </w:pPr>
            <w:r>
              <w:rPr>
                <w:sz w:val="15"/>
                <w:szCs w:val="15"/>
              </w:rPr>
              <w:t xml:space="preserve">(523,750)</w:t>
            </w:r>
          </w:p>
        </w:tc>
        <w:tc>
          <w:tcPr>
            <w:tcW w:type="pct" w:w="854"/>
            <w:tcMar>
              <w:top w:type="dxa" w:w="50"/>
              <w:left w:type="dxa" w:w="110"/>
              <w:bottom w:type="dxa" w:w="50"/>
              <w:right w:type="dxa" w:w="110"/>
            </w:tcMar>
          </w:tcPr>
          <w:p>
            <w:pPr>
              <w:spacing w:before="28" w:after="28"/>
            </w:pPr>
            <w:r>
              <w:rPr>
                <w:sz w:val="15"/>
                <w:szCs w:val="15"/>
              </w:rPr>
              <w:t xml:space="preserve">923,470</w:t>
            </w:r>
          </w:p>
        </w:tc>
        <w:tc>
          <w:tcPr>
            <w:tcW w:type="pct" w:w="858"/>
            <w:tcMar>
              <w:top w:type="dxa" w:w="50"/>
              <w:left w:type="dxa" w:w="110"/>
              <w:bottom w:type="dxa" w:w="50"/>
              <w:right w:type="dxa" w:w="110"/>
            </w:tcMar>
          </w:tcPr>
          <w:p>
            <w:pPr>
              <w:spacing w:before="28" w:after="28"/>
            </w:pPr>
            <w:r>
              <w:rPr>
                <w:sz w:val="15"/>
                <w:szCs w:val="15"/>
              </w:rPr>
              <w:t xml:space="preserve">1,048,920</w:t>
            </w:r>
          </w:p>
        </w:tc>
        <w:tc>
          <w:tcPr>
            <w:tcW w:type="pct" w:w="811"/>
            <w:tcMar>
              <w:top w:type="dxa" w:w="50"/>
              <w:left w:type="dxa" w:w="110"/>
              <w:bottom w:type="dxa" w:w="50"/>
              <w:right w:type="dxa" w:w="110"/>
            </w:tcMar>
          </w:tcPr>
          <w:p>
            <w:pPr>
              <w:spacing w:before="28" w:after="28"/>
            </w:pPr>
            <w:r>
              <w:rPr>
                <w:sz w:val="15"/>
                <w:szCs w:val="15"/>
              </w:rPr>
              <w:t xml:space="preserve">1,702,450</w:t>
            </w:r>
          </w:p>
        </w:tc>
      </w:tr>
      <w:tr>
        <w:tc>
          <w:tcPr>
            <w:tcW w:type="pct" w:w="1614"/>
            <w:shd w:fill="FBFAF6" w:val="clear"/>
            <w:tcMar>
              <w:top w:type="dxa" w:w="50"/>
              <w:left w:type="dxa" w:w="110"/>
              <w:bottom w:type="dxa" w:w="50"/>
              <w:right w:type="dxa" w:w="110"/>
            </w:tcMar>
          </w:tcPr>
          <w:p>
            <w:pPr>
              <w:spacing w:before="28" w:after="28"/>
            </w:pPr>
            <w:r>
              <w:rPr>
                <w:sz w:val="15"/>
                <w:szCs w:val="15"/>
              </w:rPr>
              <w:t xml:space="preserve">+ Borrowing</w:t>
            </w:r>
          </w:p>
        </w:tc>
        <w:tc>
          <w:tcPr>
            <w:tcW w:type="pct" w:w="863"/>
            <w:shd w:fill="FBFAF6" w:val="clear"/>
            <w:tcMar>
              <w:top w:type="dxa" w:w="50"/>
              <w:left w:type="dxa" w:w="110"/>
              <w:bottom w:type="dxa" w:w="50"/>
              <w:right w:type="dxa" w:w="110"/>
            </w:tcMar>
          </w:tcPr>
          <w:p>
            <w:pPr>
              <w:spacing w:before="28" w:after="28"/>
            </w:pPr>
            <w:r>
              <w:rPr>
                <w:sz w:val="15"/>
                <w:szCs w:val="15"/>
              </w:rPr>
              <w:t xml:space="preserve">1,000,000</w:t>
            </w:r>
          </w:p>
        </w:tc>
        <w:tc>
          <w:tcPr>
            <w:tcW w:type="pct" w:w="854"/>
            <w:shd w:fill="FBFAF6" w:val="clear"/>
            <w:tcMar>
              <w:top w:type="dxa" w:w="50"/>
              <w:left w:type="dxa" w:w="110"/>
              <w:bottom w:type="dxa" w:w="50"/>
              <w:right w:type="dxa" w:w="110"/>
            </w:tcMar>
          </w:tcPr>
          <w:p>
            <w:pPr>
              <w:spacing w:before="28" w:after="28"/>
            </w:pPr>
            <w:r>
              <w:rPr>
                <w:sz w:val="15"/>
                <w:szCs w:val="15"/>
              </w:rPr>
              <w:t xml:space="preserve">—</w:t>
            </w:r>
          </w:p>
        </w:tc>
        <w:tc>
          <w:tcPr>
            <w:tcW w:type="pct" w:w="858"/>
            <w:shd w:fill="FBFAF6" w:val="clear"/>
            <w:tcMar>
              <w:top w:type="dxa" w:w="50"/>
              <w:left w:type="dxa" w:w="110"/>
              <w:bottom w:type="dxa" w:w="50"/>
              <w:right w:type="dxa" w:w="110"/>
            </w:tcMar>
          </w:tcPr>
          <w:p>
            <w:pPr>
              <w:spacing w:before="28" w:after="28"/>
            </w:pPr>
            <w:r>
              <w:rPr>
                <w:sz w:val="15"/>
                <w:szCs w:val="15"/>
              </w:rPr>
              <w:t xml:space="preserve">—</w:t>
            </w:r>
          </w:p>
        </w:tc>
        <w:tc>
          <w:tcPr>
            <w:tcW w:type="pct" w:w="811"/>
            <w:shd w:fill="FBFAF6" w:val="clear"/>
            <w:tcMar>
              <w:top w:type="dxa" w:w="50"/>
              <w:left w:type="dxa" w:w="110"/>
              <w:bottom w:type="dxa" w:w="50"/>
              <w:right w:type="dxa" w:w="110"/>
            </w:tcMar>
          </w:tcPr>
          <w:p>
            <w:pPr>
              <w:spacing w:before="28" w:after="28"/>
            </w:pPr>
            <w:r>
              <w:rPr>
                <w:sz w:val="15"/>
                <w:szCs w:val="15"/>
              </w:rPr>
              <w:t xml:space="preserve">—</w:t>
            </w:r>
          </w:p>
        </w:tc>
      </w:tr>
      <w:tr>
        <w:tc>
          <w:tcPr>
            <w:tcW w:type="pct" w:w="1614"/>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863"/>
            <w:tcMar>
              <w:top w:type="dxa" w:w="50"/>
              <w:left w:type="dxa" w:w="110"/>
              <w:bottom w:type="dxa" w:w="50"/>
              <w:right w:type="dxa" w:w="110"/>
            </w:tcMar>
          </w:tcPr>
          <w:p>
            <w:pPr>
              <w:spacing w:before="28" w:after="28"/>
            </w:pPr>
            <w:r>
              <w:rPr>
                <w:sz w:val="15"/>
                <w:szCs w:val="15"/>
              </w:rPr>
              <w:t xml:space="preserve">(20,000)</w:t>
            </w:r>
          </w:p>
        </w:tc>
        <w:tc>
          <w:tcPr>
            <w:tcW w:type="pct" w:w="854"/>
            <w:tcMar>
              <w:top w:type="dxa" w:w="50"/>
              <w:left w:type="dxa" w:w="110"/>
              <w:bottom w:type="dxa" w:w="50"/>
              <w:right w:type="dxa" w:w="110"/>
            </w:tcMar>
          </w:tcPr>
          <w:p>
            <w:pPr>
              <w:spacing w:before="28" w:after="28"/>
            </w:pPr>
            <w:r>
              <w:rPr>
                <w:sz w:val="15"/>
                <w:szCs w:val="15"/>
              </w:rPr>
              <w:t xml:space="preserve">(20,000)</w:t>
            </w:r>
          </w:p>
        </w:tc>
        <w:tc>
          <w:tcPr>
            <w:tcW w:type="pct" w:w="858"/>
            <w:tcMar>
              <w:top w:type="dxa" w:w="50"/>
              <w:left w:type="dxa" w:w="110"/>
              <w:bottom w:type="dxa" w:w="50"/>
              <w:right w:type="dxa" w:w="110"/>
            </w:tcMar>
          </w:tcPr>
          <w:p>
            <w:pPr>
              <w:spacing w:before="28" w:after="28"/>
            </w:pPr>
            <w:r>
              <w:rPr>
                <w:sz w:val="15"/>
                <w:szCs w:val="15"/>
              </w:rPr>
              <w:t xml:space="preserve">(10,000)</w:t>
            </w:r>
          </w:p>
        </w:tc>
        <w:tc>
          <w:tcPr>
            <w:tcW w:type="pct" w:w="811"/>
            <w:tcMar>
              <w:top w:type="dxa" w:w="50"/>
              <w:left w:type="dxa" w:w="110"/>
              <w:bottom w:type="dxa" w:w="50"/>
              <w:right w:type="dxa" w:w="110"/>
            </w:tcMar>
          </w:tcPr>
          <w:p>
            <w:pPr>
              <w:spacing w:before="28" w:after="28"/>
            </w:pPr>
            <w:r>
              <w:rPr>
                <w:sz w:val="15"/>
                <w:szCs w:val="15"/>
              </w:rPr>
              <w:t xml:space="preserve">—</w:t>
            </w:r>
          </w:p>
        </w:tc>
      </w:tr>
      <w:tr>
        <w:tc>
          <w:tcPr>
            <w:tcW w:type="pct" w:w="1614"/>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863"/>
            <w:shd w:fill="FBFAF6" w:val="clear"/>
            <w:tcMar>
              <w:top w:type="dxa" w:w="50"/>
              <w:left w:type="dxa" w:w="110"/>
              <w:bottom w:type="dxa" w:w="50"/>
              <w:right w:type="dxa" w:w="110"/>
            </w:tcMar>
          </w:tcPr>
          <w:p>
            <w:pPr>
              <w:spacing w:before="28" w:after="28"/>
            </w:pPr>
            <w:r>
              <w:rPr>
                <w:sz w:val="15"/>
                <w:szCs w:val="15"/>
              </w:rPr>
              <w:t xml:space="preserve">—</w:t>
            </w:r>
          </w:p>
        </w:tc>
        <w:tc>
          <w:tcPr>
            <w:tcW w:type="pct" w:w="854"/>
            <w:shd w:fill="FBFAF6" w:val="clear"/>
            <w:tcMar>
              <w:top w:type="dxa" w:w="50"/>
              <w:left w:type="dxa" w:w="110"/>
              <w:bottom w:type="dxa" w:w="50"/>
              <w:right w:type="dxa" w:w="110"/>
            </w:tcMar>
          </w:tcPr>
          <w:p>
            <w:pPr>
              <w:spacing w:before="28" w:after="28"/>
            </w:pPr>
            <w:r>
              <w:rPr>
                <w:sz w:val="15"/>
                <w:szCs w:val="15"/>
              </w:rPr>
              <w:t xml:space="preserve">(500,000)</w:t>
            </w:r>
          </w:p>
        </w:tc>
        <w:tc>
          <w:tcPr>
            <w:tcW w:type="pct" w:w="858"/>
            <w:shd w:fill="FBFAF6" w:val="clear"/>
            <w:tcMar>
              <w:top w:type="dxa" w:w="50"/>
              <w:left w:type="dxa" w:w="110"/>
              <w:bottom w:type="dxa" w:w="50"/>
              <w:right w:type="dxa" w:w="110"/>
            </w:tcMar>
          </w:tcPr>
          <w:p>
            <w:pPr>
              <w:spacing w:before="28" w:after="28"/>
            </w:pPr>
            <w:r>
              <w:rPr>
                <w:sz w:val="15"/>
                <w:szCs w:val="15"/>
              </w:rPr>
              <w:t xml:space="preserve">(500,000)</w:t>
            </w:r>
          </w:p>
        </w:tc>
        <w:tc>
          <w:tcPr>
            <w:tcW w:type="pct" w:w="811"/>
            <w:shd w:fill="FBFAF6" w:val="clear"/>
            <w:tcMar>
              <w:top w:type="dxa" w:w="50"/>
              <w:left w:type="dxa" w:w="110"/>
              <w:bottom w:type="dxa" w:w="50"/>
              <w:right w:type="dxa" w:w="110"/>
            </w:tcMar>
          </w:tcPr>
          <w:p>
            <w:pPr>
              <w:spacing w:before="28" w:after="28"/>
            </w:pPr>
            <w:r>
              <w:rPr>
                <w:sz w:val="15"/>
                <w:szCs w:val="15"/>
              </w:rPr>
              <w:t xml:space="preserve">—</w:t>
            </w:r>
          </w:p>
        </w:tc>
      </w:tr>
      <w:tr>
        <w:tc>
          <w:tcPr>
            <w:tcW w:type="pct" w:w="1614"/>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863"/>
            <w:tcMar>
              <w:top w:type="dxa" w:w="50"/>
              <w:left w:type="dxa" w:w="110"/>
              <w:bottom w:type="dxa" w:w="50"/>
              <w:right w:type="dxa" w:w="110"/>
            </w:tcMar>
          </w:tcPr>
          <w:p>
            <w:pPr>
              <w:spacing w:before="28" w:after="28"/>
            </w:pPr>
            <w:r>
              <w:rPr>
                <w:sz w:val="15"/>
                <w:szCs w:val="15"/>
              </w:rPr>
              <w:t xml:space="preserve">456,250</w:t>
            </w:r>
          </w:p>
        </w:tc>
        <w:tc>
          <w:tcPr>
            <w:tcW w:type="pct" w:w="854"/>
            <w:tcMar>
              <w:top w:type="dxa" w:w="50"/>
              <w:left w:type="dxa" w:w="110"/>
              <w:bottom w:type="dxa" w:w="50"/>
              <w:right w:type="dxa" w:w="110"/>
            </w:tcMar>
          </w:tcPr>
          <w:p>
            <w:pPr>
              <w:spacing w:before="28" w:after="28"/>
            </w:pPr>
            <w:r>
              <w:rPr>
                <w:sz w:val="15"/>
                <w:szCs w:val="15"/>
              </w:rPr>
              <w:t xml:space="preserve">403,470</w:t>
            </w:r>
          </w:p>
        </w:tc>
        <w:tc>
          <w:tcPr>
            <w:tcW w:type="pct" w:w="858"/>
            <w:tcMar>
              <w:top w:type="dxa" w:w="50"/>
              <w:left w:type="dxa" w:w="110"/>
              <w:bottom w:type="dxa" w:w="50"/>
              <w:right w:type="dxa" w:w="110"/>
            </w:tcMar>
          </w:tcPr>
          <w:p>
            <w:pPr>
              <w:spacing w:before="28" w:after="28"/>
            </w:pPr>
            <w:r>
              <w:rPr>
                <w:sz w:val="15"/>
                <w:szCs w:val="15"/>
              </w:rPr>
              <w:t xml:space="preserve">538,920</w:t>
            </w:r>
          </w:p>
        </w:tc>
        <w:tc>
          <w:tcPr>
            <w:tcW w:type="pct" w:w="811"/>
            <w:tcMar>
              <w:top w:type="dxa" w:w="50"/>
              <w:left w:type="dxa" w:w="110"/>
              <w:bottom w:type="dxa" w:w="50"/>
              <w:right w:type="dxa" w:w="110"/>
            </w:tcMar>
          </w:tcPr>
          <w:p>
            <w:pPr>
              <w:spacing w:before="28" w:after="28"/>
            </w:pPr>
            <w:r>
              <w:rPr>
                <w:sz w:val="15"/>
                <w:szCs w:val="15"/>
              </w:rPr>
              <w:t xml:space="preserve">1,702,450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 Total disbursements   ·   = Ending cash   ·   Fixed selling and admin (cash part)   ·   − Repayment   ·   Variable overhead   ·   Fixed overhead (cash part)   ·   = Cash available   ·   − Interest</w:t>
            </w:r>
          </w:p>
        </w:tc>
      </w:tr>
    </w:tbl>
    <w:p/>
    <w:p>
      <w:pPr>
        <w:pageBreakBefore w:val="true"/>
        <w:spacing w:after="0"/>
      </w:pPr>
      <w:r>
        <w:rPr>
          <w:sz w:val="2"/>
        </w:rPr>
        <w:t xml:space="preserve"> </w:t>
      </w:r>
    </w:p>
    <w:p>
      <w:pPr>
        <w:spacing w:before="20" w:after="20" w:line="360" w:lineRule="auto"/>
        <w:ind w:left="200"/>
      </w:pPr>
      <w:r>
        <w:rPr>
          <w:sz w:val="19"/>
          <w:szCs w:val="19"/>
        </w:rPr>
        <w:t xml:space="preserve">By the third quarter, summer collections repay the loan.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minimum cash balance</w:t>
            </w:r>
          </w:p>
        </w:tc>
        <w:tc>
          <w:tcPr>
            <w:tcW w:type="pct" w:w="2600"/>
            <w:tcMar>
              <w:top w:type="dxa" w:w="50"/>
              <w:left w:type="dxa" w:w="110"/>
              <w:bottom w:type="dxa" w:w="50"/>
              <w:right w:type="dxa" w:w="110"/>
            </w:tcMar>
          </w:tcPr>
          <w:p>
            <w:pPr>
              <w:spacing w:before="26" w:after="26"/>
            </w:pPr>
            <w:r>
              <w:rPr>
                <w:color w:val="232733"/>
                <w:sz w:val="16"/>
                <w:szCs w:val="16"/>
              </w:rPr>
              <w:t xml:space="preserve">الحد الأدنى للرصيد النقدي</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9.4  Preparing the cash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repayments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Variable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Management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Fixed overhead (cash part)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balance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Fixed selling and admin (cash part)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Non-cash</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 Total disbursements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 Interest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disbursements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 Repayment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borrows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 Ending cash</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cash budget has four parts: beginning cash plus collections gives cash available; minus disbursements gives cash before financing; borrowing, interest and repayments give ending cash. Management keeps a minimum cash balance of $400,000. Non-cash costs are left out. Fixed overhead is paid at $300,000 a quarter, not $450,000, because $150,000 of it is depreciation; fixed selling and administrative costs are paid at $550,000.</w:t>
      </w:r>
    </w:p>
    <w:p>
      <w:pPr>
        <w:spacing w:before="20" w:after="20"/>
        <w:ind w:left="240" w:hanging="240"/>
      </w:pPr>
      <w:r>
        <w:rPr>
          <w:b/>
          <w:bCs/>
          <w:color w:val="353A7C"/>
          <w:sz w:val="15"/>
          <w:szCs w:val="15"/>
        </w:rPr>
        <w:t xml:space="preserve">Summary 2   </w:t>
      </w:r>
      <w:r>
        <w:rPr>
          <w:color w:val="6B7280"/>
          <w:sz w:val="15"/>
          <w:szCs w:val="15"/>
        </w:rPr>
        <w:t xml:space="preserve">Cash available $4,640,000 − disbursements $5,163,750 = $(523,750) before financing. To stay above the minimum after interest, Beverages borrows $1,000,000 in steps of $100,000; after interest of $20,000, ending cash is $456,250.</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9.5  Credit and payables policies</w:t>
            </w:r>
          </w:p>
          <w:p>
            <w:pPr>
              <w:spacing w:before="0" w:after="46"/>
            </w:pPr>
            <w:r>
              <w:rPr>
                <w:color w:val="E8EAF6"/>
                <w:sz w:val="16"/>
                <w:szCs w:val="16"/>
              </w:rPr>
              <w:t xml:space="preserve">Chapter 9 · section 9.5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Credit and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policies change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of cash,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borrowing. </w:t>
      </w:r>
      <w:r>
        <w:rPr>
          <w:sz w:val="19"/>
          <w:szCs w:val="19"/>
        </w:rPr>
        <w:t xml:space="preserve">Collecting faster from customers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cash in earlier; paying suppliers faster sends it out earlier. </w:t>
      </w:r>
      <w:r>
        <w:rPr>
          <w:sz w:val="19"/>
          <w:szCs w:val="19"/>
        </w:rPr>
        <w:t xml:space="preserve">Collecting 50% in the quarter of sale would add $420,000 of cash; paying for concentrate in full at once would take more cash out and raise the loan.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timing   ·   discount   ·   therefore   ·   payables   ·   brings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086"/>
        <w:gridCol w:w="2199"/>
        <w:gridCol w:w="109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The effect of credit and payables policies on first-quarter cash</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First quarter 2028 (USD)</w:t>
            </w:r>
          </w:p>
        </w:tc>
        <w:tc>
          <w:tcPr>
            <w:tcW w:type="pct" w:w="1087"/>
            <w:shd w:fill="353A7C" w:val="clear"/>
            <w:tcMar>
              <w:top w:type="dxa" w:w="50"/>
              <w:left w:type="dxa" w:w="110"/>
              <w:bottom w:type="dxa" w:w="50"/>
              <w:right w:type="dxa" w:w="110"/>
            </w:tcMar>
          </w:tcPr>
          <w:p>
            <w:pPr>
              <w:spacing w:before="30" w:after="30"/>
            </w:pPr>
            <w:r>
              <w:rPr>
                <w:b/>
                <w:bCs/>
                <w:color w:val="FFFFFF"/>
                <w:sz w:val="15"/>
                <w:szCs w:val="15"/>
              </w:rPr>
              <w:t xml:space="preserve">Budget</w:t>
            </w:r>
          </w:p>
        </w:tc>
        <w:tc>
          <w:tcPr>
            <w:tcW w:type="pct" w:w="1145"/>
            <w:shd w:fill="353A7C" w:val="clear"/>
            <w:tcMar>
              <w:top w:type="dxa" w:w="50"/>
              <w:left w:type="dxa" w:w="110"/>
              <w:bottom w:type="dxa" w:w="50"/>
              <w:right w:type="dxa" w:w="110"/>
            </w:tcMar>
          </w:tcPr>
          <w:p>
            <w:pPr>
              <w:spacing w:before="30" w:after="30"/>
            </w:pPr>
            <w:r>
              <w:rPr>
                <w:b/>
                <w:bCs/>
                <w:color w:val="FFFFFF"/>
                <w:sz w:val="15"/>
                <w:szCs w:val="15"/>
              </w:rPr>
              <w:t xml:space="preserve">Changed policy</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Effect on cash</w:t>
            </w:r>
          </w:p>
        </w:tc>
      </w:tr>
      <w:tr>
        <w:tc>
          <w:tcPr>
            <w:tcW w:type="pct" w:w="2200"/>
            <w:tcMar>
              <w:top w:type="dxa" w:w="50"/>
              <w:left w:type="dxa" w:w="110"/>
              <w:bottom w:type="dxa" w:w="50"/>
              <w:right w:type="dxa" w:w="110"/>
            </w:tcMar>
          </w:tcPr>
          <w:p>
            <w:pPr>
              <w:spacing w:before="28" w:after="28"/>
            </w:pPr>
            <w:r>
              <w:rPr>
                <w:sz w:val="15"/>
                <w:szCs w:val="15"/>
              </w:rPr>
              <w:t xml:space="preserve">Collections in the first quarter</w:t>
            </w:r>
          </w:p>
        </w:tc>
        <w:tc>
          <w:tcPr>
            <w:tcW w:type="pct" w:w="1087"/>
            <w:tcMar>
              <w:top w:type="dxa" w:w="50"/>
              <w:left w:type="dxa" w:w="110"/>
              <w:bottom w:type="dxa" w:w="50"/>
              <w:right w:type="dxa" w:w="110"/>
            </w:tcMar>
          </w:tcPr>
          <w:p>
            <w:pPr>
              <w:spacing w:before="28" w:after="28"/>
            </w:pPr>
            <w:r>
              <w:rPr>
                <w:sz w:val="15"/>
                <w:szCs w:val="15"/>
              </w:rPr>
              <w:t xml:space="preserve">4,140,000</w:t>
            </w:r>
          </w:p>
        </w:tc>
        <w:tc>
          <w:tcPr>
            <w:tcW w:type="pct" w:w="1145"/>
            <w:tcMar>
              <w:top w:type="dxa" w:w="50"/>
              <w:left w:type="dxa" w:w="110"/>
              <w:bottom w:type="dxa" w:w="50"/>
              <w:right w:type="dxa" w:w="110"/>
            </w:tcMar>
          </w:tcPr>
          <w:p>
            <w:pPr>
              <w:spacing w:before="28" w:after="28"/>
            </w:pPr>
            <w:r>
              <w:rPr>
                <w:sz w:val="15"/>
                <w:szCs w:val="15"/>
              </w:rPr>
              <w:t xml:space="preserve">4,560,000</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Cash before financing</w:t>
            </w:r>
          </w:p>
        </w:tc>
        <w:tc>
          <w:tcPr>
            <w:tcW w:type="pct" w:w="1087"/>
            <w:shd w:fill="FBFAF6" w:val="clear"/>
            <w:tcMar>
              <w:top w:type="dxa" w:w="50"/>
              <w:left w:type="dxa" w:w="110"/>
              <w:bottom w:type="dxa" w:w="50"/>
              <w:right w:type="dxa" w:w="110"/>
            </w:tcMar>
          </w:tcPr>
          <w:p>
            <w:pPr>
              <w:spacing w:before="28" w:after="28"/>
            </w:pPr>
            <w:r>
              <w:rPr>
                <w:sz w:val="15"/>
                <w:szCs w:val="15"/>
              </w:rPr>
              <w:t xml:space="preserve">(523,750)</w:t>
            </w:r>
          </w:p>
        </w:tc>
        <w:tc>
          <w:tcPr>
            <w:tcW w:type="pct" w:w="1145"/>
            <w:shd w:fill="FBFAF6" w:val="clear"/>
            <w:tcMar>
              <w:top w:type="dxa" w:w="50"/>
              <w:left w:type="dxa" w:w="110"/>
              <w:bottom w:type="dxa" w:w="50"/>
              <w:right w:type="dxa" w:w="110"/>
            </w:tcMar>
          </w:tcPr>
          <w:p>
            <w:pPr>
              <w:spacing w:before="28" w:after="28"/>
            </w:pPr>
            <w:r>
              <w:rPr>
                <w:sz w:val="15"/>
                <w:szCs w:val="15"/>
              </w:rPr>
              <w:t xml:space="preserve">(103,750)</w:t>
            </w:r>
          </w:p>
        </w:tc>
        <w:tc>
          <w:tcPr>
            <w:tcW w:type="pct" w:w="568"/>
            <w:shd w:fill="FBFAF6" w:val="clear"/>
            <w:tcMar>
              <w:top w:type="dxa" w:w="50"/>
              <w:left w:type="dxa" w:w="110"/>
              <w:bottom w:type="dxa" w:w="50"/>
              <w:right w:type="dxa" w:w="110"/>
            </w:tcMar>
          </w:tcPr>
          <w:p>
            <w:pPr>
              <w:spacing w:before="28" w:after="28"/>
            </w:pPr>
            <w:r>
              <w:rPr>
                <w:sz w:val="15"/>
                <w:szCs w:val="15"/>
              </w:rPr>
              <w:t xml:space="preserve">+420,000</w:t>
            </w:r>
          </w:p>
        </w:tc>
      </w:tr>
      <w:tr>
        <w:tc>
          <w:tcPr>
            <w:tcW w:type="pct" w:w="2200"/>
            <w:tcMar>
              <w:top w:type="dxa" w:w="50"/>
              <w:left w:type="dxa" w:w="110"/>
              <w:bottom w:type="dxa" w:w="50"/>
              <w:right w:type="dxa" w:w="110"/>
            </w:tcMar>
          </w:tcPr>
          <w:p>
            <w:pPr>
              <w:spacing w:before="28" w:after="28"/>
            </w:pPr>
            <w:r>
              <w:rPr>
                <w:sz w:val="15"/>
                <w:szCs w:val="15"/>
              </w:rPr>
              <w:t xml:space="preserve">Concentrate paid in the first quarter, if paid 100% at once</w:t>
            </w:r>
          </w:p>
        </w:tc>
        <w:tc>
          <w:tcPr>
            <w:tcW w:type="pct" w:w="1087"/>
            <w:tcMar>
              <w:top w:type="dxa" w:w="50"/>
              <w:left w:type="dxa" w:w="110"/>
              <w:bottom w:type="dxa" w:w="50"/>
              <w:right w:type="dxa" w:w="110"/>
            </w:tcMar>
          </w:tcPr>
          <w:p>
            <w:pPr>
              <w:spacing w:before="28" w:after="28"/>
            </w:pPr>
            <w:r>
              <w:rPr>
                <w:sz w:val="15"/>
                <w:szCs w:val="15"/>
              </w:rPr>
              <w:t xml:space="preserve">1,154,150</w:t>
            </w:r>
          </w:p>
        </w:tc>
        <w:tc>
          <w:tcPr>
            <w:tcW w:type="pct" w:w="1145"/>
            <w:tcMar>
              <w:top w:type="dxa" w:w="50"/>
              <w:left w:type="dxa" w:w="110"/>
              <w:bottom w:type="dxa" w:w="50"/>
              <w:right w:type="dxa" w:w="110"/>
            </w:tcMar>
          </w:tcPr>
          <w:p>
            <w:pPr>
              <w:spacing w:before="28" w:after="28"/>
            </w:pPr>
            <w:r>
              <w:rPr>
                <w:sz w:val="15"/>
                <w:szCs w:val="15"/>
              </w:rPr>
              <w:t xml:space="preserve">1,733,300</w:t>
            </w:r>
          </w:p>
        </w:tc>
        <w:tc>
          <w:tcPr>
            <w:tcW w:type="pct" w:w="568"/>
            <w:tcMar>
              <w:top w:type="dxa" w:w="50"/>
              <w:left w:type="dxa" w:w="110"/>
              <w:bottom w:type="dxa" w:w="50"/>
              <w:right w:type="dxa" w:w="110"/>
            </w:tcMar>
          </w:tcPr>
          <w:p>
            <w:pPr>
              <w:spacing w:before="28" w:after="28"/>
            </w:pPr>
            <w:r>
              <w:rPr>
                <w:sz w:val="15"/>
                <w:szCs w:val="15"/>
              </w:rPr>
              <w:t xml:space="preserve">−579,150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+420,000   ·   cash budget</w:t>
            </w:r>
          </w:p>
        </w:tc>
      </w:tr>
    </w:tbl>
    <w:p/>
    <w:p>
      <w:pPr>
        <w:spacing w:before="44" w:after="14"/>
      </w:pPr>
      <w:r>
        <w:rPr>
          <w:b/>
          <w:bCs/>
          <w:color w:val="353A7C"/>
          <w:sz w:val="18"/>
          <w:szCs w:val="18"/>
        </w:rPr>
        <w:t xml:space="preserve">Summary 2</w:t>
      </w:r>
      <w:r>
        <w:rPr>
          <w:color w:val="6B7280"/>
          <w:sz w:val="16"/>
          <w:szCs w:val="16"/>
        </w:rPr>
        <w:t xml:space="preserve">      gaps 6–8</w:t>
      </w:r>
    </w:p>
    <w:p>
      <w:pPr>
        <w:spacing w:before="20" w:after="20" w:line="360" w:lineRule="auto"/>
        <w:ind w:left="200"/>
      </w:pPr>
      <w:r>
        <w:rPr>
          <w:sz w:val="19"/>
          <w:szCs w:val="19"/>
        </w:rPr>
        <w:t xml:space="preserve">Tighter credit has a cost: customers such as Levant and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may buy less or ask for discounts. </w:t>
      </w:r>
      <w:r>
        <w:rPr>
          <w:sz w:val="19"/>
          <w:szCs w:val="19"/>
        </w:rPr>
        <w:t xml:space="preserve">Slower payment to suppliers may lose discounts or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cash budget shows the cash effect;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weighs it against these costs.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goodwill   ·   supermarkets   ·   management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Policy changes move cash, not profit</w:t>
            </w:r>
          </w:p>
        </w:tc>
      </w:tr>
    </w:tbl>
    <w:p/>
    <w:p>
      <w:pPr>
        <w:spacing w:before="44" w:after="14"/>
      </w:pPr>
      <w:r>
        <w:rPr>
          <w:b/>
          <w:bCs/>
          <w:color w:val="353A7C"/>
          <w:sz w:val="18"/>
          <w:szCs w:val="18"/>
        </w:rPr>
        <w:t xml:space="preserve">Summary 3</w:t>
      </w:r>
      <w:r>
        <w:rPr>
          <w:color w:val="6B7280"/>
          <w:sz w:val="16"/>
          <w:szCs w:val="16"/>
        </w:rPr>
        <w:t xml:space="preserve">      gaps 9–11</w:t>
      </w:r>
    </w:p>
    <w:p>
      <w:pPr>
        <w:spacing w:before="20" w:after="20" w:line="360" w:lineRule="auto"/>
        <w:ind w:left="200"/>
      </w:pPr>
      <w:r>
        <w:rPr>
          <w:sz w:val="19"/>
          <w:szCs w:val="19"/>
        </w:rPr>
        <w:t xml:space="preserve">A change in credit or payment terms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when cash arrives or leaves, not the sales or expenses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Unless the question adds a discount or lost sales,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income does not change.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themselves   ·   changes   ·   operating   ·   goodwill</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9.5  Credit and payables policies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payables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goodwill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timing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therefore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changes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brings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themselves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+420,000</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supermarkets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Credit and payables policies change the timing of cash, and therefore the borrowing. Collecting faster from customers brings cash in earlier; paying suppliers faster sends it out earlier. Collecting 50% in the quarter of sale would add $420,000 of cash; paying for concentrate in full at once would take more cash out and raise the loan.</w:t>
      </w:r>
    </w:p>
    <w:p>
      <w:pPr>
        <w:spacing w:before="20" w:after="20"/>
        <w:ind w:left="240" w:hanging="240"/>
      </w:pPr>
      <w:r>
        <w:rPr>
          <w:b/>
          <w:bCs/>
          <w:color w:val="353A7C"/>
          <w:sz w:val="15"/>
          <w:szCs w:val="15"/>
        </w:rPr>
        <w:t xml:space="preserve">Summary 2   </w:t>
      </w:r>
      <w:r>
        <w:rPr>
          <w:color w:val="6B7280"/>
          <w:sz w:val="15"/>
          <w:szCs w:val="15"/>
        </w:rPr>
        <w:t xml:space="preserve">Tighter credit has a cost: customers such as Levant and the supermarkets may buy less or ask for discounts. Slower payment to suppliers may lose discounts or goodwill. The cash budget shows the cash effect; management weighs it against these costs.</w:t>
      </w:r>
    </w:p>
    <w:p>
      <w:pPr>
        <w:spacing w:before="20" w:after="20"/>
        <w:ind w:left="240" w:hanging="240"/>
      </w:pPr>
      <w:r>
        <w:rPr>
          <w:b/>
          <w:bCs/>
          <w:color w:val="353A7C"/>
          <w:sz w:val="15"/>
          <w:szCs w:val="15"/>
        </w:rPr>
        <w:t xml:space="preserve">Summary 3   </w:t>
      </w:r>
      <w:r>
        <w:rPr>
          <w:color w:val="6B7280"/>
          <w:sz w:val="15"/>
          <w:szCs w:val="15"/>
        </w:rPr>
        <w:t xml:space="preserve">A change in credit or payment terms changes when cash arrives or leaves, not the sales or expenses themselves. Unless the question adds a discount or lost sales, operating income does not change.</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9.6  Extended Example 9A: financing the year and handing over to the pro forma statements</w:t>
            </w:r>
          </w:p>
          <w:p>
            <w:pPr>
              <w:spacing w:before="0" w:after="46"/>
            </w:pPr>
            <w:r>
              <w:rPr>
                <w:color w:val="E8EAF6"/>
                <w:sz w:val="16"/>
                <w:szCs w:val="16"/>
              </w:rPr>
              <w:t xml:space="preserve">Chapter 9 · section 9.6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loan through the year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cash budget as a whole.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follows   ·   checks   ·   minimum</w:t>
            </w:r>
          </w:p>
        </w:tc>
      </w:tr>
    </w:tbl>
    <w:p/>
    <w:p>
      <w:pPr>
        <w:spacing w:before="44" w:after="10"/>
      </w:pPr>
      <w:r>
        <w:rPr>
          <w:b/>
          <w:bCs/>
          <w:color w:val="353A7C"/>
          <w:sz w:val="18"/>
          <w:szCs w:val="18"/>
        </w:rPr>
        <w:t xml:space="preserve">Extended Example: the financing schedule</w:t>
      </w:r>
    </w:p>
    <w:p>
      <w:pPr>
        <w:spacing w:before="0" w:after="12"/>
      </w:pPr>
      <w:r>
        <w:rPr>
          <w:color w:val="6B7280"/>
          <w:sz w:val="15"/>
          <w:szCs w:val="15"/>
        </w:rPr>
        <w:t xml:space="preserve">Name each line from how it moves.</w:t>
      </w:r>
    </w:p>
    <w:p>
      <w:pPr>
        <w:spacing w:after="40" w:before="90"/>
        <w:jc w:val="center"/>
      </w:pPr>
      <w:r>
        <w:drawing>
          <wp:inline distT="0" distB="0" distL="0" distR="0">
            <wp:extent cx="5734050" cy="245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4520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Loan at end of quarter   ·   Loan at start of quarter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Extended Example: the year's cash in one reconciliation</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Year 2028 (USD)</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400"/>
            <w:tcMar>
              <w:top w:type="dxa" w:w="50"/>
              <w:left w:type="dxa" w:w="110"/>
              <w:bottom w:type="dxa" w:w="50"/>
              <w:right w:type="dxa" w:w="110"/>
            </w:tcMar>
          </w:tcPr>
          <w:p>
            <w:pPr>
              <w:spacing w:before="28" w:after="28"/>
            </w:pPr>
            <w:r>
              <w:rPr>
                <w:sz w:val="15"/>
                <w:szCs w:val="15"/>
              </w:rPr>
              <w:t xml:space="preserve">Beginning cash</w:t>
            </w:r>
          </w:p>
        </w:tc>
        <w:tc>
          <w:tcPr>
            <w:tcW w:type="pct" w:w="2600"/>
            <w:tcMar>
              <w:top w:type="dxa" w:w="50"/>
              <w:left w:type="dxa" w:w="110"/>
              <w:bottom w:type="dxa" w:w="50"/>
              <w:right w:type="dxa" w:w="110"/>
            </w:tcMar>
          </w:tcPr>
          <w:p>
            <w:pPr>
              <w:spacing w:before="28" w:after="28"/>
            </w:pPr>
            <w:r>
              <w:rPr>
                <w:sz w:val="15"/>
                <w:szCs w:val="15"/>
              </w:rPr>
              <w:t xml:space="preserve">500,000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 Collections</w:t>
            </w:r>
          </w:p>
        </w:tc>
        <w:tc>
          <w:tcPr>
            <w:tcW w:type="pct" w:w="2600"/>
            <w:shd w:fill="FBFAF6" w:val="clear"/>
            <w:tcMar>
              <w:top w:type="dxa" w:w="50"/>
              <w:left w:type="dxa" w:w="110"/>
              <w:bottom w:type="dxa" w:w="50"/>
              <w:right w:type="dxa" w:w="110"/>
            </w:tcMar>
          </w:tcPr>
          <w:p>
            <w:pPr>
              <w:spacing w:before="28" w:after="28"/>
            </w:pPr>
            <w:r>
              <w:rPr>
                <w:sz w:val="15"/>
                <w:szCs w:val="15"/>
              </w:rPr>
              <w:t xml:space="preserve">17,760,000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600"/>
            <w:tcMar>
              <w:top w:type="dxa" w:w="50"/>
              <w:left w:type="dxa" w:w="110"/>
              <w:bottom w:type="dxa" w:w="50"/>
              <w:right w:type="dxa" w:w="110"/>
            </w:tcMar>
          </w:tcPr>
          <w:p>
            <w:pPr>
              <w:spacing w:before="28" w:after="28"/>
            </w:pPr>
            <w:r>
              <w:rPr>
                <w:sz w:val="15"/>
                <w:szCs w:val="15"/>
              </w:rPr>
              <w:t xml:space="preserve">(16,507,550)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 Interest</w:t>
            </w:r>
          </w:p>
        </w:tc>
        <w:tc>
          <w:tcPr>
            <w:tcW w:type="pct" w:w="2600"/>
            <w:shd w:fill="FBFAF6" w:val="clear"/>
            <w:tcMar>
              <w:top w:type="dxa" w:w="50"/>
              <w:left w:type="dxa" w:w="110"/>
              <w:bottom w:type="dxa" w:w="50"/>
              <w:right w:type="dxa" w:w="110"/>
            </w:tcMar>
          </w:tcPr>
          <w:p>
            <w:pPr>
              <w:spacing w:before="28" w:after="28"/>
            </w:pPr>
            <w:r>
              <w:rPr>
                <w:sz w:val="15"/>
                <w:szCs w:val="15"/>
              </w:rPr>
              <w:t xml:space="preserve">(50,000)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600"/>
            <w:tcMar>
              <w:top w:type="dxa" w:w="50"/>
              <w:left w:type="dxa" w:w="110"/>
              <w:bottom w:type="dxa" w:w="50"/>
              <w:right w:type="dxa" w:w="110"/>
            </w:tcMar>
          </w:tcPr>
          <w:p>
            <w:pPr>
              <w:spacing w:before="28" w:after="28"/>
            </w:pPr>
            <w:r>
              <w:rPr>
                <w:sz w:val="15"/>
                <w:szCs w:val="15"/>
              </w:rPr>
              <w:t xml:space="preserve">1,000,000 − 1,000,000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600"/>
            <w:shd w:fill="FBFAF6" w:val="clear"/>
            <w:tcMar>
              <w:top w:type="dxa" w:w="50"/>
              <w:left w:type="dxa" w:w="110"/>
              <w:bottom w:type="dxa" w:w="50"/>
              <w:right w:type="dxa" w:w="110"/>
            </w:tcMar>
          </w:tcPr>
          <w:p>
            <w:pPr>
              <w:spacing w:before="28" w:after="28"/>
            </w:pPr>
            <w:r>
              <w:rPr>
                <w:sz w:val="15"/>
                <w:szCs w:val="15"/>
              </w:rPr>
              <w:t xml:space="preserve">1,702,450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 Ending cash   ·   + Borrowing − repayment   ·   minimum cash balance   ·   − Disbursements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455"/>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Extended Example: figures passed to the pro forma statements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Item passed to the pro forma statements</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Amount</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Where it goes</w:t>
            </w:r>
          </w:p>
        </w:tc>
      </w:tr>
      <w:tr>
        <w:tc>
          <w:tcPr>
            <w:tcW w:type="pct" w:w="2200"/>
            <w:tcMar>
              <w:top w:type="dxa" w:w="50"/>
              <w:left w:type="dxa" w:w="110"/>
              <w:bottom w:type="dxa" w:w="50"/>
              <w:right w:type="dxa" w:w="110"/>
            </w:tcMar>
          </w:tcPr>
          <w:p>
            <w:pPr>
              <w:spacing w:before="28" w:after="28"/>
            </w:pPr>
            <w:r>
              <w:rPr>
                <w:sz w:val="15"/>
                <w:szCs w:val="15"/>
              </w:rPr>
              <w:t xml:space="preserve">Depreciation left out of cash</w:t>
            </w:r>
          </w:p>
        </w:tc>
        <w:tc>
          <w:tcPr>
            <w:tcW w:type="pct" w:w="758"/>
            <w:tcMar>
              <w:top w:type="dxa" w:w="50"/>
              <w:left w:type="dxa" w:w="110"/>
              <w:bottom w:type="dxa" w:w="50"/>
              <w:right w:type="dxa" w:w="110"/>
            </w:tcMar>
          </w:tcPr>
          <w:p>
            <w:pPr>
              <w:spacing w:before="28" w:after="28"/>
            </w:pPr>
            <w:r>
              <w:rPr>
                <w:sz w:val="15"/>
                <w:szCs w:val="15"/>
              </w:rPr>
              <w:t xml:space="preserve">$800,000</w:t>
            </w:r>
          </w:p>
        </w:tc>
        <w:tc>
          <w:tcPr>
            <w:tcW w:type="pct" w:w="2042"/>
            <w:tcMar>
              <w:top w:type="dxa" w:w="50"/>
              <w:left w:type="dxa" w:w="110"/>
              <w:bottom w:type="dxa" w:w="50"/>
              <w:right w:type="dxa" w:w="110"/>
            </w:tcMar>
          </w:tcPr>
          <w:p>
            <w:pPr>
              <w:spacing w:before="28" w:after="28"/>
            </w:pPr>
            <w:r>
              <w:rPr>
                <w:sz w:val="15"/>
                <w:szCs w:val="15"/>
              </w:rPr>
              <w:t xml:space="preserve">Income statement only (Chapters 7–8)</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Receivables at year end</w:t>
            </w:r>
          </w:p>
        </w:tc>
        <w:tc>
          <w:tcPr>
            <w:tcW w:type="pct" w:w="758"/>
            <w:shd w:fill="FBFAF6" w:val="clear"/>
            <w:tcMar>
              <w:top w:type="dxa" w:w="50"/>
              <w:left w:type="dxa" w:w="110"/>
              <w:bottom w:type="dxa" w:w="50"/>
              <w:right w:type="dxa" w:w="110"/>
            </w:tcMar>
          </w:tcPr>
          <w:p>
            <w:pPr>
              <w:spacing w:before="28" w:after="28"/>
            </w:pPr>
            <w:r>
              <w:rPr>
                <w:sz w:val="15"/>
                <w:szCs w:val="15"/>
              </w:rPr>
              <w:t xml:space="preserve">$2,700,000</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2200"/>
            <w:tcMar>
              <w:top w:type="dxa" w:w="50"/>
              <w:left w:type="dxa" w:w="110"/>
              <w:bottom w:type="dxa" w:w="50"/>
              <w:right w:type="dxa" w:w="110"/>
            </w:tcMar>
          </w:tcPr>
          <w:p>
            <w:pPr>
              <w:spacing w:before="28" w:after="28"/>
            </w:pPr>
            <w:r>
              <w:rPr>
                <w:sz w:val="15"/>
                <w:szCs w:val="15"/>
              </w:rPr>
              <w:t xml:space="preserve">Concentrate payable at year end</w:t>
            </w:r>
          </w:p>
        </w:tc>
        <w:tc>
          <w:tcPr>
            <w:tcW w:type="pct" w:w="758"/>
            <w:tcMar>
              <w:top w:type="dxa" w:w="50"/>
              <w:left w:type="dxa" w:w="110"/>
              <w:bottom w:type="dxa" w:w="50"/>
              <w:right w:type="dxa" w:w="110"/>
            </w:tcMar>
          </w:tcPr>
          <w:p>
            <w:pPr>
              <w:spacing w:before="28" w:after="28"/>
            </w:pPr>
            <w:r>
              <w:rPr>
                <w:sz w:val="15"/>
                <w:szCs w:val="15"/>
              </w:rPr>
              <w:t xml:space="preserve">$600,750</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Filling line</w:t>
            </w:r>
          </w:p>
        </w:tc>
        <w:tc>
          <w:tcPr>
            <w:tcW w:type="pct" w:w="758"/>
            <w:shd w:fill="FBFAF6" w:val="clear"/>
            <w:tcMar>
              <w:top w:type="dxa" w:w="50"/>
              <w:left w:type="dxa" w:w="110"/>
              <w:bottom w:type="dxa" w:w="50"/>
              <w:right w:type="dxa" w:w="110"/>
            </w:tcMar>
          </w:tcPr>
          <w:p>
            <w:pPr>
              <w:spacing w:before="28" w:after="28"/>
            </w:pPr>
            <w:r>
              <w:rPr>
                <w:sz w:val="15"/>
                <w:szCs w:val="15"/>
              </w:rPr>
              <w:t xml:space="preserve">$2,500,000</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2200"/>
            <w:tcMar>
              <w:top w:type="dxa" w:w="50"/>
              <w:left w:type="dxa" w:w="110"/>
              <w:bottom w:type="dxa" w:w="50"/>
              <w:right w:type="dxa" w:w="110"/>
            </w:tcMar>
          </w:tcPr>
          <w:p>
            <w:pPr>
              <w:spacing w:before="28" w:after="28"/>
            </w:pPr>
            <w:r>
              <w:rPr>
                <w:sz w:val="15"/>
                <w:szCs w:val="15"/>
              </w:rPr>
              <w:t xml:space="preserve">Cash at year end</w:t>
            </w:r>
          </w:p>
        </w:tc>
        <w:tc>
          <w:tcPr>
            <w:tcW w:type="pct" w:w="758"/>
            <w:tcMar>
              <w:top w:type="dxa" w:w="50"/>
              <w:left w:type="dxa" w:w="110"/>
              <w:bottom w:type="dxa" w:w="50"/>
              <w:right w:type="dxa" w:w="110"/>
            </w:tcMar>
          </w:tcPr>
          <w:p>
            <w:pPr>
              <w:spacing w:before="28" w:after="28"/>
            </w:pPr>
            <w:r>
              <w:rPr>
                <w:sz w:val="15"/>
                <w:szCs w:val="15"/>
              </w:rPr>
              <w:t xml:space="preserve">$1,702,450</w:t>
            </w:r>
          </w:p>
        </w:tc>
        <w:tc>
          <w:tcPr>
            <w:tcW w:type="pct" w:w="2042"/>
            <w:tcMar>
              <w:top w:type="dxa" w:w="50"/>
              <w:left w:type="dxa" w:w="110"/>
              <w:bottom w:type="dxa" w:w="50"/>
              <w:right w:type="dxa" w:w="110"/>
            </w:tcMar>
          </w:tcPr>
          <w:p>
            <w:pPr>
              <w:spacing w:before="28" w:after="28"/>
            </w:pPr>
            <w:r>
              <w:rPr>
                <w:sz w:val="15"/>
                <w:szCs w:val="15"/>
              </w:rPr>
              <w:t xml:space="preserve">Balance sheet (Chapter 10)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Collections from the Gulf importer   ·   60% of fourth-quarter sales   ·   50% of fourth-quarter purchases   ·   New asset on the balance sheet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20" w:after="20" w:line="360" w:lineRule="auto"/>
        <w:ind w:left="200"/>
      </w:pPr>
      <w:r>
        <w:rPr>
          <w:sz w:val="19"/>
          <w:szCs w:val="19"/>
        </w:rPr>
        <w:t xml:space="preserve">Collections $17,760,000 = sales $18,000,000 + opening receivables $2,460,000 − closing receivables $2,700,000.</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2</w:t>
      </w:r>
      <w:r>
        <w:rPr>
          <w:color w:val="6B7280"/>
          <w:sz w:val="16"/>
          <w:szCs w:val="16"/>
        </w:rPr>
        <w:t xml:space="preserve">      gaps 10–12</w:t>
      </w:r>
    </w:p>
    <w:p>
      <w:pPr>
        <w:spacing w:before="20" w:after="20" w:line="360" w:lineRule="auto"/>
        <w:ind w:left="200"/>
      </w:pPr>
      <w:r>
        <w:rPr>
          <w:sz w:val="19"/>
          <w:szCs w:val="19"/>
        </w:rPr>
        <w:t xml:space="preserve">Expect sales and purchases with credit terms, a list of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including depreciation,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purchase and a minimum cash balance. </w:t>
      </w:r>
      <w:r>
        <w:rPr>
          <w:sz w:val="19"/>
          <w:szCs w:val="19"/>
        </w:rPr>
        <w:t xml:space="preserve">Build collections and payments, leave out non-cash items, find cash before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and calculate the borrowing, interest and ending cash.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financing   ·   borrowing   ·   capital   ·   expenses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second quarter 2028</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tcMar>
              <w:top w:type="dxa" w:w="50"/>
              <w:left w:type="dxa" w:w="110"/>
              <w:bottom w:type="dxa" w:w="50"/>
              <w:right w:type="dxa" w:w="110"/>
            </w:tcMar>
          </w:tcPr>
          <w:p>
            <w:pPr>
              <w:spacing w:before="28" w:after="28"/>
            </w:pPr>
            <w:r>
              <w:rPr>
                <w:sz w:val="15"/>
                <w:szCs w:val="15"/>
              </w:rPr>
              <w:t xml:space="preserve">$1,260,000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Sales: second quarter</w:t>
            </w:r>
          </w:p>
        </w:tc>
        <w:tc>
          <w:tcPr>
            <w:tcW w:type="pct" w:w="2400"/>
            <w:shd w:fill="FBFAF6" w:val="clear"/>
            <w:tcMar>
              <w:top w:type="dxa" w:w="50"/>
              <w:left w:type="dxa" w:w="110"/>
              <w:bottom w:type="dxa" w:w="50"/>
              <w:right w:type="dxa" w:w="110"/>
            </w:tcMar>
          </w:tcPr>
          <w:p>
            <w:pPr>
              <w:spacing w:before="28" w:after="28"/>
            </w:pPr>
            <w:r>
              <w:rPr>
                <w:sz w:val="15"/>
                <w:szCs w:val="15"/>
              </w:rPr>
              <w:t xml:space="preserve">$1,330,000</w:t>
            </w:r>
          </w:p>
        </w:tc>
      </w:tr>
      <w:tr>
        <w:tc>
          <w:tcPr>
            <w:tcW w:type="pct" w:w="2600"/>
            <w:tcMar>
              <w:top w:type="dxa" w:w="50"/>
              <w:left w:type="dxa" w:w="110"/>
              <w:bottom w:type="dxa" w:w="50"/>
              <w:right w:type="dxa" w:w="110"/>
            </w:tcMar>
          </w:tcPr>
          <w:p>
            <w:pPr>
              <w:spacing w:before="28" w:after="28"/>
            </w:pPr>
            <w:r>
              <w:rPr>
                <w:sz w:val="15"/>
                <w:szCs w:val="15"/>
              </w:rPr>
              <w:t xml:space="preserve">Collected in the quarter of sale</w:t>
            </w:r>
          </w:p>
        </w:tc>
        <w:tc>
          <w:tcPr>
            <w:tcW w:type="pct" w:w="2400"/>
            <w:tcMar>
              <w:top w:type="dxa" w:w="50"/>
              <w:left w:type="dxa" w:w="110"/>
              <w:bottom w:type="dxa" w:w="50"/>
              <w:right w:type="dxa" w:w="110"/>
            </w:tcMar>
          </w:tcPr>
          <w:p>
            <w:pPr>
              <w:spacing w:before="28" w:after="28"/>
            </w:pPr>
            <w:r>
              <w:rPr>
                <w:sz w:val="15"/>
                <w:szCs w:val="15"/>
              </w:rPr>
              <w:t xml:space="preserve">70%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Sesame purchases: first quarter</w:t>
            </w:r>
          </w:p>
        </w:tc>
        <w:tc>
          <w:tcPr>
            <w:tcW w:type="pct" w:w="2400"/>
            <w:shd w:fill="FBFAF6" w:val="clear"/>
            <w:tcMar>
              <w:top w:type="dxa" w:w="50"/>
              <w:left w:type="dxa" w:w="110"/>
              <w:bottom w:type="dxa" w:w="50"/>
              <w:right w:type="dxa" w:w="110"/>
            </w:tcMar>
          </w:tcPr>
          <w:p>
            <w:pPr>
              <w:spacing w:before="28" w:after="28"/>
            </w:pPr>
            <w:r>
              <w:rPr>
                <w:sz w:val="15"/>
                <w:szCs w:val="15"/>
              </w:rPr>
              <w:t xml:space="preserve">$457,500</w:t>
            </w:r>
          </w:p>
        </w:tc>
      </w:tr>
      <w:tr>
        <w:tc>
          <w:tcPr>
            <w:tcW w:type="pct" w:w="2600"/>
            <w:tcMar>
              <w:top w:type="dxa" w:w="50"/>
              <w:left w:type="dxa" w:w="110"/>
              <w:bottom w:type="dxa" w:w="50"/>
              <w:right w:type="dxa" w:w="110"/>
            </w:tcMar>
          </w:tcPr>
          <w:p>
            <w:pPr>
              <w:spacing w:before="28" w:after="28"/>
            </w:pPr>
            <w:r>
              <w:rPr>
                <w:sz w:val="15"/>
                <w:szCs w:val="15"/>
              </w:rPr>
              <w:t xml:space="preserve">Sesame purchases: second quarter</w:t>
            </w:r>
          </w:p>
        </w:tc>
        <w:tc>
          <w:tcPr>
            <w:tcW w:type="pct" w:w="2400"/>
            <w:tcMar>
              <w:top w:type="dxa" w:w="50"/>
              <w:left w:type="dxa" w:w="110"/>
              <w:bottom w:type="dxa" w:w="50"/>
              <w:right w:type="dxa" w:w="110"/>
            </w:tcMar>
          </w:tcPr>
          <w:p>
            <w:pPr>
              <w:spacing w:before="28" w:after="28"/>
            </w:pPr>
            <w:r>
              <w:rPr>
                <w:sz w:val="15"/>
                <w:szCs w:val="15"/>
              </w:rPr>
              <w:t xml:space="preserve">$481,000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400"/>
            <w:shd w:fill="FBFAF6" w:val="clear"/>
            <w:tcMar>
              <w:top w:type="dxa" w:w="50"/>
              <w:left w:type="dxa" w:w="110"/>
              <w:bottom w:type="dxa" w:w="50"/>
              <w:right w:type="dxa" w:w="110"/>
            </w:tcMar>
          </w:tcPr>
          <w:p>
            <w:pPr>
              <w:spacing w:before="28" w:after="28"/>
            </w:pPr>
            <w:r>
              <w:rPr>
                <w:sz w:val="15"/>
                <w:szCs w:val="15"/>
              </w:rPr>
              <w:t xml:space="preserve">50%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tcMar>
              <w:top w:type="dxa" w:w="50"/>
              <w:left w:type="dxa" w:w="110"/>
              <w:bottom w:type="dxa" w:w="50"/>
              <w:right w:type="dxa" w:w="110"/>
            </w:tcMar>
          </w:tcPr>
          <w:p>
            <w:pPr>
              <w:spacing w:before="28" w:after="28"/>
            </w:pPr>
            <w:r>
              <w:rPr>
                <w:sz w:val="15"/>
                <w:szCs w:val="15"/>
              </w:rPr>
              <w:t xml:space="preserve">$0.65</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shd w:fill="FBFAF6" w:val="clear"/>
            <w:tcMar>
              <w:top w:type="dxa" w:w="50"/>
              <w:left w:type="dxa" w:w="110"/>
              <w:bottom w:type="dxa" w:w="50"/>
              <w:right w:type="dxa" w:w="110"/>
            </w:tcMar>
          </w:tcPr>
          <w:p>
            <w:pPr>
              <w:spacing w:before="28" w:after="28"/>
            </w:pPr>
            <w:r>
              <w:rPr>
                <w:sz w:val="15"/>
                <w:szCs w:val="15"/>
              </w:rPr>
              <w:t xml:space="preserve">382,000</w:t>
            </w:r>
          </w:p>
        </w:tc>
      </w:tr>
      <w:tr>
        <w:tc>
          <w:tcPr>
            <w:tcW w:type="pct" w:w="2600"/>
            <w:tcMar>
              <w:top w:type="dxa" w:w="50"/>
              <w:left w:type="dxa" w:w="110"/>
              <w:bottom w:type="dxa" w:w="50"/>
              <w:right w:type="dxa" w:w="110"/>
            </w:tcMar>
          </w:tcPr>
          <w:p>
            <w:pPr>
              <w:spacing w:before="28" w:after="28"/>
            </w:pPr>
            <w:r>
              <w:rPr>
                <w:sz w:val="15"/>
                <w:szCs w:val="15"/>
              </w:rPr>
              <w:t xml:space="preserve">Fixed manufacturing overhead for the quarter</w:t>
            </w:r>
          </w:p>
        </w:tc>
        <w:tc>
          <w:tcPr>
            <w:tcW w:type="pct" w:w="2400"/>
            <w:tcMar>
              <w:top w:type="dxa" w:w="50"/>
              <w:left w:type="dxa" w:w="110"/>
              <w:bottom w:type="dxa" w:w="50"/>
              <w:right w:type="dxa" w:w="110"/>
            </w:tcMar>
          </w:tcPr>
          <w:p>
            <w:pPr>
              <w:spacing w:before="28" w:after="28"/>
            </w:pPr>
            <w:r>
              <w:rPr>
                <w:sz w:val="15"/>
                <w:szCs w:val="15"/>
              </w:rPr>
              <w:t xml:space="preserve">$240,000, including depreciation $60,000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2400"/>
            <w:shd w:fill="FBFAF6" w:val="clear"/>
            <w:tcMar>
              <w:top w:type="dxa" w:w="50"/>
              <w:left w:type="dxa" w:w="110"/>
              <w:bottom w:type="dxa" w:w="50"/>
              <w:right w:type="dxa" w:w="110"/>
            </w:tcMar>
          </w:tcPr>
          <w:p>
            <w:pPr>
              <w:spacing w:before="28" w:after="28"/>
            </w:pPr>
            <w:r>
              <w:rPr>
                <w:sz w:val="15"/>
                <w:szCs w:val="15"/>
              </w:rPr>
              <w:t xml:space="preserve">$38,000</w:t>
            </w:r>
          </w:p>
        </w:tc>
      </w:tr>
      <w:tr>
        <w:tc>
          <w:tcPr>
            <w:tcW w:type="pct" w:w="2600"/>
            <w:tcMar>
              <w:top w:type="dxa" w:w="50"/>
              <w:left w:type="dxa" w:w="110"/>
              <w:bottom w:type="dxa" w:w="50"/>
              <w:right w:type="dxa" w:w="110"/>
            </w:tcMar>
          </w:tcPr>
          <w:p>
            <w:pPr>
              <w:spacing w:before="28" w:after="28"/>
            </w:pPr>
            <w:r>
              <w:rPr>
                <w:sz w:val="15"/>
                <w:szCs w:val="15"/>
              </w:rPr>
              <w:t xml:space="preserve">Fixed selling and admin for the quarter</w:t>
            </w:r>
          </w:p>
        </w:tc>
        <w:tc>
          <w:tcPr>
            <w:tcW w:type="pct" w:w="2400"/>
            <w:tcMar>
              <w:top w:type="dxa" w:w="50"/>
              <w:left w:type="dxa" w:w="110"/>
              <w:bottom w:type="dxa" w:w="50"/>
              <w:right w:type="dxa" w:w="110"/>
            </w:tcMar>
          </w:tcPr>
          <w:p>
            <w:pPr>
              <w:spacing w:before="28" w:after="28"/>
            </w:pPr>
            <w:r>
              <w:rPr>
                <w:sz w:val="15"/>
                <w:szCs w:val="15"/>
              </w:rPr>
              <w:t xml:space="preserve">$120,000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New mixer, paid in the second quarter</w:t>
            </w:r>
          </w:p>
        </w:tc>
        <w:tc>
          <w:tcPr>
            <w:tcW w:type="pct" w:w="2400"/>
            <w:shd w:fill="FBFAF6" w:val="clear"/>
            <w:tcMar>
              <w:top w:type="dxa" w:w="50"/>
              <w:left w:type="dxa" w:w="110"/>
              <w:bottom w:type="dxa" w:w="50"/>
              <w:right w:type="dxa" w:w="110"/>
            </w:tcMar>
          </w:tcPr>
          <w:p>
            <w:pPr>
              <w:spacing w:before="28" w:after="28"/>
            </w:pPr>
            <w:r>
              <w:rPr>
                <w:sz w:val="15"/>
                <w:szCs w:val="15"/>
              </w:rPr>
              <w:t xml:space="preserve">$150,000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2400"/>
            <w:tcMar>
              <w:top w:type="dxa" w:w="50"/>
              <w:left w:type="dxa" w:w="110"/>
              <w:bottom w:type="dxa" w:w="50"/>
              <w:right w:type="dxa" w:w="110"/>
            </w:tcMar>
          </w:tcPr>
          <w:p>
            <w:pPr>
              <w:spacing w:before="28" w:after="28"/>
            </w:pPr>
            <w:r>
              <w:rPr>
                <w:sz w:val="15"/>
                <w:szCs w:val="15"/>
              </w:rPr>
              <w:t xml:space="preserve">$300,000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Minimum cash balance</w:t>
            </w:r>
          </w:p>
        </w:tc>
        <w:tc>
          <w:tcPr>
            <w:tcW w:type="pct" w:w="2400"/>
            <w:shd w:fill="FBFAF6" w:val="clear"/>
            <w:tcMar>
              <w:top w:type="dxa" w:w="50"/>
              <w:left w:type="dxa" w:w="110"/>
              <w:bottom w:type="dxa" w:w="50"/>
              <w:right w:type="dxa" w:w="110"/>
            </w:tcMar>
          </w:tcPr>
          <w:p>
            <w:pPr>
              <w:spacing w:before="28" w:after="28"/>
            </w:pPr>
            <w:r>
              <w:rPr>
                <w:sz w:val="15"/>
                <w:szCs w:val="15"/>
              </w:rPr>
              <w:t xml:space="preserve">$250,000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Cash at the start of the second quarter   ·   Variable selling for the quarter   ·   Jars produced in the second quarter   ·   New asset on the balance sheet   ·   Jars, labor and variable overhead per jar produced   ·   Sales: first quarter   ·   Sesame paid in the quarter of purchase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Q3</w:t>
            </w:r>
          </w:p>
        </w:tc>
        <w:tc>
          <w:tcPr>
            <w:tcW w:type="pct" w:w="2600"/>
            <w:tcMar>
              <w:top w:type="dxa" w:w="50"/>
              <w:left w:type="dxa" w:w="110"/>
              <w:bottom w:type="dxa" w:w="50"/>
              <w:right w:type="dxa" w:w="110"/>
            </w:tcMar>
          </w:tcPr>
          <w:p>
            <w:pPr>
              <w:spacing w:before="28" w:after="28"/>
            </w:pPr>
            <w:r>
              <w:rPr>
                <w:sz w:val="15"/>
                <w:szCs w:val="15"/>
              </w:rPr>
              <w:t xml:space="preserve">$1,254,150 = 50% of 1,236,060 + 50% of 1,272,240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Q4</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(19)</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$1,254,150 = 50% of 1,236,060 + 50% of 1,272,240   ·   $1,236,870 = 50% of 1,272,240 + 50% of 1,201,500</w:t>
            </w:r>
          </w:p>
        </w:tc>
      </w:tr>
    </w:tbl>
    <w:p/>
    <w:p>
      <w:pPr>
        <w:spacing w:before="44" w:after="10"/>
      </w:pPr>
      <w:r>
        <w:rPr>
          <w:b/>
          <w:bCs/>
          <w:color w:val="353A7C"/>
          <w:sz w:val="18"/>
          <w:szCs w:val="18"/>
        </w:rPr>
        <w:t xml:space="preserve">Item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Payment for the new mixer   ·   Sales made but not yet collected   ·   Wages of the filling team</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cash budget   ·   الموازنة النقدية   ·   minimum cash balance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cash budget</w:t>
            </w:r>
          </w:p>
        </w:tc>
        <w:tc>
          <w:tcPr>
            <w:tcW w:type="pct" w:w="2600"/>
            <w:tcMar>
              <w:top w:type="dxa" w:w="50"/>
              <w:left w:type="dxa" w:w="110"/>
              <w:bottom w:type="dxa" w:w="50"/>
              <w:right w:type="dxa" w:w="110"/>
            </w:tcMar>
          </w:tcPr>
          <w:p>
            <w:pPr>
              <w:spacing w:before="26" w:after="26"/>
            </w:pPr>
            <w:r>
              <w:rPr>
                <w:color w:val="232733"/>
                <w:sz w:val="16"/>
                <w:szCs w:val="16"/>
              </w:rPr>
              <w:t xml:space="preserve">الموازنة النقدية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minimum cash balance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الحد الأدنى للرصيد النقدي</w:t>
            </w:r>
          </w:p>
        </w:tc>
      </w:tr>
      <w:tr>
        <w:tc>
          <w:tcPr>
            <w:tcW w:type="pct" w:w="2400"/>
            <w:tcMar>
              <w:top w:type="dxa" w:w="50"/>
              <w:left w:type="dxa" w:w="110"/>
              <w:bottom w:type="dxa" w:w="50"/>
              <w:right w:type="dxa" w:w="110"/>
            </w:tcMar>
          </w:tcPr>
          <w:p>
            <w:pPr>
              <w:spacing w:before="26" w:after="26"/>
            </w:pPr>
            <w:r>
              <w:rPr>
                <w:color w:val="232733"/>
                <w:sz w:val="16"/>
                <w:szCs w:val="16"/>
              </w:rPr>
              <w:t xml:space="preserve">credit policy</w:t>
            </w:r>
          </w:p>
        </w:tc>
        <w:tc>
          <w:tcPr>
            <w:tcW w:type="pct" w:w="2600"/>
            <w:tcMar>
              <w:top w:type="dxa" w:w="50"/>
              <w:left w:type="dxa" w:w="110"/>
              <w:bottom w:type="dxa" w:w="50"/>
              <w:right w:type="dxa" w:w="110"/>
            </w:tcMar>
          </w:tcPr>
          <w:p>
            <w:pPr>
              <w:spacing w:before="26" w:after="26"/>
            </w:pPr>
            <w:r>
              <w:rPr>
                <w:color w:val="232733"/>
                <w:sz w:val="16"/>
                <w:szCs w:val="16"/>
              </w:rPr>
              <w:t xml:space="preserve">سياسة الائتمان</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9.6  Extended Example 9A: financing the year and handing over to the pro forma statements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Sales: first 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checks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Sesame paid in the quarter of purchase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Loan at start of quarter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Jars, labor and variable overhead per jar produced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 Disbursements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Jars produced in the second 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 Borrowing − repayment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Variable selling for the 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 Ending cash</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Cash at the start of the second 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60% of fourth-quarter sales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$1,236,870 = 50% of 1,272,240 + 50% of 1,201,500</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50% of fourth-quarter purchases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Payment for the new mixer</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New asset on the balance sheet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Sales made but not yet collected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expenses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cash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capital</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minimum cash 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financing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the loan through the year and checks the cash budget as a whole.</w:t>
      </w:r>
    </w:p>
    <w:p>
      <w:pPr>
        <w:spacing w:before="20" w:after="20"/>
        <w:ind w:left="240" w:hanging="240"/>
      </w:pPr>
      <w:r>
        <w:rPr>
          <w:b/>
          <w:bCs/>
          <w:color w:val="353A7C"/>
          <w:sz w:val="15"/>
          <w:szCs w:val="15"/>
        </w:rPr>
        <w:t xml:space="preserve">Summary 2   </w:t>
      </w:r>
      <w:r>
        <w:rPr>
          <w:color w:val="6B7280"/>
          <w:sz w:val="15"/>
          <w:szCs w:val="15"/>
        </w:rPr>
        <w:t xml:space="preserve">Expect sales and purchases with credit terms, a list of expenses including depreciation, a capital purchase and a minimum cash balance. Build collections and payments, leave out non-cash items, find cash before financing, and calculate the borrowing, interest and ending cash.</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9.1 · The capital expenditure budget</w:t>
          </w:r>
        </w:p>
      </w:tc>
      <w:tc>
        <w:tcPr>
          <w:tcW w:type="pct" w:w="1400"/>
          <w:tcMar>
            <w:top w:type="dxa" w:w="-30"/>
            <w:left w:type="dxa" w:w="30"/>
            <w:bottom w:type="dxa" w:w="-30"/>
            <w:right w:type="dxa" w:w="30"/>
          </w:tcMar>
        </w:tcPr>
        <w:p>
          <w:pPr>
            <w:jc w:val="right"/>
          </w:pPr>
          <w:r>
            <w:rPr>
              <w:color w:val="6B7280"/>
              <w:sz w:val="16"/>
              <w:szCs w:val="16"/>
            </w:rPr>
            <w:t xml:space="preserve">Handout 9.1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9.2 · Why a cash budget?</w:t>
          </w:r>
        </w:p>
      </w:tc>
      <w:tc>
        <w:tcPr>
          <w:tcW w:type="pct" w:w="1400"/>
          <w:tcMar>
            <w:top w:type="dxa" w:w="-30"/>
            <w:left w:type="dxa" w:w="30"/>
            <w:bottom w:type="dxa" w:w="-30"/>
            <w:right w:type="dxa" w:w="30"/>
          </w:tcMar>
        </w:tcPr>
        <w:p>
          <w:pPr>
            <w:jc w:val="right"/>
          </w:pPr>
          <w:r>
            <w:rPr>
              <w:color w:val="6B7280"/>
              <w:sz w:val="16"/>
              <w:szCs w:val="16"/>
            </w:rPr>
            <w:t xml:space="preserve">Handout 9.2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9.3 · Collections and payments</w:t>
          </w:r>
        </w:p>
      </w:tc>
      <w:tc>
        <w:tcPr>
          <w:tcW w:type="pct" w:w="1400"/>
          <w:tcMar>
            <w:top w:type="dxa" w:w="-30"/>
            <w:left w:type="dxa" w:w="30"/>
            <w:bottom w:type="dxa" w:w="-30"/>
            <w:right w:type="dxa" w:w="30"/>
          </w:tcMar>
        </w:tcPr>
        <w:p>
          <w:pPr>
            <w:jc w:val="right"/>
          </w:pPr>
          <w:r>
            <w:rPr>
              <w:color w:val="6B7280"/>
              <w:sz w:val="16"/>
              <w:szCs w:val="16"/>
            </w:rPr>
            <w:t xml:space="preserve">Handout 9.3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9.4 · Preparing the cash budget</w:t>
          </w:r>
        </w:p>
      </w:tc>
      <w:tc>
        <w:tcPr>
          <w:tcW w:type="pct" w:w="1400"/>
          <w:tcMar>
            <w:top w:type="dxa" w:w="-30"/>
            <w:left w:type="dxa" w:w="30"/>
            <w:bottom w:type="dxa" w:w="-30"/>
            <w:right w:type="dxa" w:w="30"/>
          </w:tcMar>
        </w:tcPr>
        <w:p>
          <w:pPr>
            <w:jc w:val="right"/>
          </w:pPr>
          <w:r>
            <w:rPr>
              <w:color w:val="6B7280"/>
              <w:sz w:val="16"/>
              <w:szCs w:val="16"/>
            </w:rPr>
            <w:t xml:space="preserve">Handout 9.4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9.5 · Credit and payables policies</w:t>
          </w:r>
        </w:p>
      </w:tc>
      <w:tc>
        <w:tcPr>
          <w:tcW w:type="pct" w:w="1400"/>
          <w:tcMar>
            <w:top w:type="dxa" w:w="-30"/>
            <w:left w:type="dxa" w:w="30"/>
            <w:bottom w:type="dxa" w:w="-30"/>
            <w:right w:type="dxa" w:w="30"/>
          </w:tcMar>
        </w:tcPr>
        <w:p>
          <w:pPr>
            <w:jc w:val="right"/>
          </w:pPr>
          <w:r>
            <w:rPr>
              <w:color w:val="6B7280"/>
              <w:sz w:val="16"/>
              <w:szCs w:val="16"/>
            </w:rPr>
            <w:t xml:space="preserve">Handout 9.5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9.6 · Extended Example 9A: financing the year and handing over to the pro forma statements</w:t>
          </w:r>
        </w:p>
      </w:tc>
      <w:tc>
        <w:tcPr>
          <w:tcW w:type="pct" w:w="1400"/>
          <w:tcMar>
            <w:top w:type="dxa" w:w="-30"/>
            <w:left w:type="dxa" w:w="30"/>
            <w:bottom w:type="dxa" w:w="-30"/>
            <w:right w:type="dxa" w:w="30"/>
          </w:tcMar>
        </w:tcPr>
        <w:p>
          <w:pPr>
            <w:jc w:val="right"/>
          </w:pPr>
          <w:r>
            <w:rPr>
              <w:color w:val="6B7280"/>
              <w:sz w:val="16"/>
              <w:szCs w:val="16"/>
            </w:rPr>
            <w:t xml:space="preserve">Handout 9.6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f006c1f6cba5c66a2887a629d5ebd8420ff8e1b5.png" Type="http://schemas.openxmlformats.org/officeDocument/2006/relationships/image"/><Relationship Id="rId102" Target="media/195a24e2802518ca20827d4efab53dea60f10fe6.png" Type="http://schemas.openxmlformats.org/officeDocument/2006/relationships/image"/><Relationship Id="rId103" Target="media/bb19776138405030bc29fb750f18dc15f6f1905e.png" Type="http://schemas.openxmlformats.org/officeDocument/2006/relationships/image"/><Relationship Id="rId104" Target="media/e12d31389534c1fc9df7c9445f0e887cabd78abe.png" Type="http://schemas.openxmlformats.org/officeDocument/2006/relationships/image"/><Relationship Id="rId105" Target="media/e9a4e7016cbacddcb9db07ec99d69c3dd3af452c.png" Type="http://schemas.openxmlformats.org/officeDocument/2006/relationships/image"/><Relationship Id="rId106" Target="media/c4158b3f9004ff822c6d36122bf5ccced656393f.png" Type="http://schemas.openxmlformats.org/officeDocument/2006/relationships/image"/><Relationship Id="rId107" Target="media/07bcf9a454b56cc48818e30e5e854baf7d0510ee.png" Type="http://schemas.openxmlformats.org/officeDocument/2006/relationships/image"/><Relationship Id="rId108" Target="media/b9f280eccd84eff0c5463115d1f9ec358089f6f5.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 · Chapter 9</dc:title>
  <dc:subject>Summary handouts</dc:subject>
  <cp:category>Student Book</cp:category>
</cp:coreProperties>
</file>