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10.1  Purpose and relationships</w:t>
            </w:r>
          </w:p>
          <w:p>
            <w:pPr>
              <w:spacing w:before="0" w:after="46"/>
            </w:pPr>
            <w:r>
              <w:rPr>
                <w:color w:val="E8EAF6"/>
                <w:sz w:val="16"/>
                <w:szCs w:val="16"/>
              </w:rPr>
              <w:t xml:space="preserve">Chapter 10 · section 10.1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10,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0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068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pro forma balance sheet and statement of c   ·   pro forma statement of cash flows   ·   Extended Example 10A: looking beyond next year   ·   The pro forma income statement and its assumpt</w:t>
            </w:r>
          </w:p>
        </w:tc>
      </w:tr>
    </w:tbl>
    <w:p/>
    <w:p>
      <w:pPr>
        <w:spacing w:before="44" w:after="14"/>
      </w:pPr>
      <w:r>
        <w:rPr>
          <w:b/>
          <w:bCs/>
          <w:color w:val="353A7C"/>
          <w:sz w:val="18"/>
          <w:szCs w:val="18"/>
        </w:rPr>
        <w:t xml:space="preserve">Summary 1</w:t>
      </w:r>
      <w:r>
        <w:rPr>
          <w:color w:val="6B7280"/>
          <w:sz w:val="16"/>
          <w:szCs w:val="16"/>
        </w:rPr>
        <w:t xml:space="preserve">      gaps 4–11</w:t>
      </w:r>
    </w:p>
    <w:p>
      <w:pPr>
        <w:spacing w:before="20" w:after="20" w:line="360" w:lineRule="auto"/>
        <w:ind w:left="200"/>
      </w:pPr>
      <w:r>
        <w:rPr>
          <w:sz w:val="19"/>
          <w:szCs w:val="19"/>
        </w:rPr>
        <w:t xml:space="preserve">Pro forma financial statements show what the financial statements would look like if the plan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statement shows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profit. </w:t>
      </w:r>
      <w:r>
        <w:rPr>
          <w:sz w:val="19"/>
          <w:szCs w:val="19"/>
        </w:rPr>
        <w:t xml:space="preserve">The pro forma balance sheet shows what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will own and owe, and the pro forma statement of cash flows shows where cash will come from and go. </w:t>
      </w:r>
      <w:r>
        <w:rPr>
          <w:sz w:val="19"/>
          <w:szCs w:val="19"/>
        </w:rPr>
        <w:t xml:space="preserve">All three come from the same budgets, so they must agree with one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budgets give profit, the cash budget gives cash, and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budget gives the new asset. </w:t>
      </w:r>
      <w:r>
        <w:rPr>
          <w:sz w:val="19"/>
          <w:szCs w:val="19"/>
        </w:rPr>
        <w:t xml:space="preserve">The statements are also a last check on the plan. </w:t>
      </w:r>
      <w:r>
        <w:rPr>
          <w:sz w:val="19"/>
          <w:szCs w:val="19"/>
        </w:rPr>
        <w:t xml:space="preserve">If the balance sheet does not balance, or the cash flow statement does not end at the cash in the cash budget, a schedule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wrong.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planned   ·   capital   ·   income   ·   operating   ·   budgets   ·   somewhere   ·   another   ·   division   ·   happens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 forma balance sheet   ·   pro forma statement of cash flows   ·   pro forma financial statements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19"/>
        <w:gridCol w:w="468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6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62"/>
            <w:tcMar>
              <w:top w:type="dxa" w:w="50"/>
              <w:left w:type="dxa" w:w="110"/>
              <w:bottom w:type="dxa" w:w="50"/>
              <w:right w:type="dxa" w:w="110"/>
            </w:tcMar>
          </w:tcPr>
          <w:p>
            <w:pPr>
              <w:spacing w:before="26" w:after="26"/>
            </w:pPr>
            <w:r>
              <w:rPr>
                <w:color w:val="232733"/>
                <w:sz w:val="16"/>
                <w:szCs w:val="16"/>
              </w:rPr>
              <w:t xml:space="preserve">pro forma financial statements</w:t>
            </w:r>
          </w:p>
        </w:tc>
        <w:tc>
          <w:tcPr>
            <w:tcW w:type="pct" w:w="2438"/>
            <w:tcMar>
              <w:top w:type="dxa" w:w="50"/>
              <w:left w:type="dxa" w:w="110"/>
              <w:bottom w:type="dxa" w:w="50"/>
              <w:right w:type="dxa" w:w="110"/>
            </w:tcMar>
          </w:tcPr>
          <w:p>
            <w:pPr>
              <w:spacing w:before="26" w:after="26"/>
            </w:pPr>
            <w:r>
              <w:rPr>
                <w:color w:val="232733"/>
                <w:sz w:val="16"/>
                <w:szCs w:val="16"/>
              </w:rPr>
              <w:t xml:space="preserve">القوائم المالية التقديرية</w:t>
            </w:r>
          </w:p>
        </w:tc>
      </w:tr>
      <w:tr>
        <w:tc>
          <w:tcPr>
            <w:tcW w:type="pct" w:w="2562"/>
            <w:shd w:fill="FBFAF6" w:val="clear"/>
            <w:tcMar>
              <w:top w:type="dxa" w:w="50"/>
              <w:left w:type="dxa" w:w="110"/>
              <w:bottom w:type="dxa" w:w="50"/>
              <w:right w:type="dxa" w:w="110"/>
            </w:tcMar>
          </w:tcPr>
          <w:p>
            <w:pPr>
              <w:spacing w:before="26" w:after="26"/>
            </w:pPr>
            <w:r>
              <w:rPr>
                <w:color w:val="232733"/>
                <w:sz w:val="16"/>
                <w:szCs w:val="16"/>
              </w:rPr>
              <w:t xml:space="preserve">pro forma balance sheet</w:t>
            </w:r>
          </w:p>
        </w:tc>
        <w:tc>
          <w:tcPr>
            <w:tcW w:type="pct" w:w="2438"/>
            <w:shd w:fill="FBFAF6" w:val="clear"/>
            <w:tcMar>
              <w:top w:type="dxa" w:w="50"/>
              <w:left w:type="dxa" w:w="110"/>
              <w:bottom w:type="dxa" w:w="50"/>
              <w:right w:type="dxa" w:w="110"/>
            </w:tcMar>
          </w:tcPr>
          <w:p>
            <w:pPr>
              <w:spacing w:before="26" w:after="26"/>
            </w:pPr>
            <w:r>
              <w:rPr>
                <w:color w:val="232733"/>
                <w:sz w:val="16"/>
                <w:szCs w:val="16"/>
              </w:rPr>
              <w:t xml:space="preserve">الميزانية العمومية التقديرية</w:t>
            </w:r>
          </w:p>
        </w:tc>
      </w:tr>
      <w:tr>
        <w:tc>
          <w:tcPr>
            <w:tcW w:type="pct" w:w="2562"/>
            <w:tcMar>
              <w:top w:type="dxa" w:w="50"/>
              <w:left w:type="dxa" w:w="110"/>
              <w:bottom w:type="dxa" w:w="50"/>
              <w:right w:type="dxa" w:w="110"/>
            </w:tcMar>
          </w:tcPr>
          <w:p>
            <w:pPr>
              <w:spacing w:before="26" w:after="26"/>
            </w:pPr>
            <w:r>
              <w:rPr>
                <w:color w:val="232733"/>
                <w:sz w:val="16"/>
                <w:szCs w:val="16"/>
              </w:rPr>
              <w:t xml:space="preserve">pro forma statement of cash flows</w:t>
            </w:r>
          </w:p>
        </w:tc>
        <w:tc>
          <w:tcPr>
            <w:tcW w:type="pct" w:w="2438"/>
            <w:tcMar>
              <w:top w:type="dxa" w:w="50"/>
              <w:left w:type="dxa" w:w="110"/>
              <w:bottom w:type="dxa" w:w="50"/>
              <w:right w:type="dxa" w:w="110"/>
            </w:tcMar>
          </w:tcPr>
          <w:p>
            <w:pPr>
              <w:spacing w:before="26" w:after="26"/>
            </w:pPr>
            <w:r>
              <w:rPr>
                <w:color w:val="232733"/>
                <w:sz w:val="16"/>
                <w:szCs w:val="16"/>
              </w:rPr>
              <w:t xml:space="preserve">قائمة التدفقات النقدية التقديرية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10.1  Purpose and relationships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pro forma income statement and its assumpt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another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pro forma balance sheet and statement of c</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10A: looking beyond next year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capital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happens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somewhere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income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pro forma financial 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planned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pro forma statement of cash flows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division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Pro forma financial statements show what the financial statements would look like if the plan happens. The income statement shows planned profit. The pro forma balance sheet shows what the division will own and owe, and the pro forma statement of cash flows shows where cash will come from and go. All three come from the same budgets, so they must agree with one another. The operating budgets give profit, the cash budget gives cash, and the capital budget gives the new asset. The statements are also a last check on the plan. If the balance sheet does not balance, or the cash flow statement does not end at the cash in the cash budget, a schedule somewhere is wrong.</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10.2  The pro forma income statement and its assumptions</w:t>
            </w:r>
          </w:p>
          <w:p>
            <w:pPr>
              <w:spacing w:before="0" w:after="46"/>
            </w:pPr>
            <w:r>
              <w:rPr>
                <w:color w:val="E8EAF6"/>
                <w:sz w:val="16"/>
                <w:szCs w:val="16"/>
              </w:rPr>
              <w:t xml:space="preserve">Chapter 10 · section 10.2</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The pro forma income statement extends the operating budget.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pro forma income statement for 2028</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Pro forma income statement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Sales</w:t>
            </w:r>
          </w:p>
        </w:tc>
        <w:tc>
          <w:tcPr>
            <w:tcW w:type="pct" w:w="2400"/>
            <w:tcMar>
              <w:top w:type="dxa" w:w="50"/>
              <w:left w:type="dxa" w:w="110"/>
              <w:bottom w:type="dxa" w:w="50"/>
              <w:right w:type="dxa" w:w="110"/>
            </w:tcMar>
          </w:tcPr>
          <w:p>
            <w:pPr>
              <w:spacing w:before="28" w:after="28"/>
            </w:pPr>
            <w:r>
              <w:rPr>
                <w:sz w:val="15"/>
                <w:szCs w:val="15"/>
              </w:rPr>
              <w:t xml:space="preserve">18,000,000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Cost of goods sold</w:t>
            </w:r>
          </w:p>
        </w:tc>
        <w:tc>
          <w:tcPr>
            <w:tcW w:type="pct" w:w="2400"/>
            <w:shd w:fill="FBFAF6" w:val="clear"/>
            <w:tcMar>
              <w:top w:type="dxa" w:w="50"/>
              <w:left w:type="dxa" w:w="110"/>
              <w:bottom w:type="dxa" w:w="50"/>
              <w:right w:type="dxa" w:w="110"/>
            </w:tcMar>
          </w:tcPr>
          <w:p>
            <w:pPr>
              <w:spacing w:before="28" w:after="28"/>
            </w:pPr>
            <w:r>
              <w:rPr>
                <w:sz w:val="15"/>
                <w:szCs w:val="15"/>
              </w:rPr>
              <w:t xml:space="preserve">(11,338,000)</w:t>
            </w:r>
          </w:p>
        </w:tc>
      </w:tr>
      <w:tr>
        <w:tc>
          <w:tcPr>
            <w:tcW w:type="pct" w:w="2600"/>
            <w:tcMar>
              <w:top w:type="dxa" w:w="50"/>
              <w:left w:type="dxa" w:w="110"/>
              <w:bottom w:type="dxa" w:w="50"/>
              <w:right w:type="dxa" w:w="110"/>
            </w:tcMar>
          </w:tcPr>
          <w:p>
            <w:pPr>
              <w:spacing w:before="28" w:after="28"/>
            </w:pPr>
            <w:r>
              <w:rPr>
                <w:sz w:val="15"/>
                <w:szCs w:val="15"/>
              </w:rPr>
              <w:t xml:space="preserve">= Gross margin</w:t>
            </w:r>
          </w:p>
        </w:tc>
        <w:tc>
          <w:tcPr>
            <w:tcW w:type="pct" w:w="2400"/>
            <w:tcMar>
              <w:top w:type="dxa" w:w="50"/>
              <w:left w:type="dxa" w:w="110"/>
              <w:bottom w:type="dxa" w:w="50"/>
              <w:right w:type="dxa" w:w="110"/>
            </w:tcMar>
          </w:tcPr>
          <w:p>
            <w:pPr>
              <w:spacing w:before="28" w:after="28"/>
            </w:pPr>
            <w:r>
              <w:rPr>
                <w:sz w:val="15"/>
                <w:szCs w:val="15"/>
              </w:rPr>
              <w:t xml:space="preserve">6,662,000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Selling and administrative</w:t>
            </w:r>
          </w:p>
        </w:tc>
        <w:tc>
          <w:tcPr>
            <w:tcW w:type="pct" w:w="2400"/>
            <w:shd w:fill="FBFAF6" w:val="clear"/>
            <w:tcMar>
              <w:top w:type="dxa" w:w="50"/>
              <w:left w:type="dxa" w:w="110"/>
              <w:bottom w:type="dxa" w:w="50"/>
              <w:right w:type="dxa" w:w="110"/>
            </w:tcMar>
          </w:tcPr>
          <w:p>
            <w:pPr>
              <w:spacing w:before="28" w:after="28"/>
            </w:pPr>
            <w:r>
              <w:rPr>
                <w:sz w:val="15"/>
                <w:szCs w:val="15"/>
              </w:rPr>
              <w:t xml:space="preserve">(3,480,000)</w:t>
            </w:r>
          </w:p>
        </w:tc>
      </w:tr>
      <w:tr>
        <w:tc>
          <w:tcPr>
            <w:tcW w:type="pct" w:w="2600"/>
            <w:tcMar>
              <w:top w:type="dxa" w:w="50"/>
              <w:left w:type="dxa" w:w="110"/>
              <w:bottom w:type="dxa" w:w="50"/>
              <w:right w:type="dxa" w:w="110"/>
            </w:tcMar>
          </w:tcPr>
          <w:p>
            <w:pPr>
              <w:spacing w:before="28" w:after="28"/>
            </w:pPr>
            <w:r>
              <w:rPr>
                <w:sz w:val="15"/>
                <w:szCs w:val="15"/>
              </w:rPr>
              <w:t xml:space="preserve">= Operating income</w:t>
            </w:r>
          </w:p>
        </w:tc>
        <w:tc>
          <w:tcPr>
            <w:tcW w:type="pct" w:w="2400"/>
            <w:tcMar>
              <w:top w:type="dxa" w:w="50"/>
              <w:left w:type="dxa" w:w="110"/>
              <w:bottom w:type="dxa" w:w="50"/>
              <w:right w:type="dxa" w:w="110"/>
            </w:tcMar>
          </w:tcPr>
          <w:p>
            <w:pPr>
              <w:spacing w:before="28" w:after="28"/>
            </w:pPr>
            <w:r>
              <w:rPr>
                <w:sz w:val="15"/>
                <w:szCs w:val="15"/>
              </w:rPr>
              <w:t xml:space="preserve">3,182,000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400"/>
            <w:shd w:fill="FBFAF6" w:val="clear"/>
            <w:tcMar>
              <w:top w:type="dxa" w:w="50"/>
              <w:left w:type="dxa" w:w="110"/>
              <w:bottom w:type="dxa" w:w="50"/>
              <w:right w:type="dxa" w:w="110"/>
            </w:tcMar>
          </w:tcPr>
          <w:p>
            <w:pPr>
              <w:spacing w:before="28" w:after="28"/>
            </w:pPr>
            <w:r>
              <w:rPr>
                <w:sz w:val="15"/>
                <w:szCs w:val="15"/>
              </w:rPr>
              <w:t xml:space="preserve">(50,000)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400"/>
            <w:tcMar>
              <w:top w:type="dxa" w:w="50"/>
              <w:left w:type="dxa" w:w="110"/>
              <w:bottom w:type="dxa" w:w="50"/>
              <w:right w:type="dxa" w:w="110"/>
            </w:tcMar>
          </w:tcPr>
          <w:p>
            <w:pPr>
              <w:spacing w:before="28" w:after="28"/>
            </w:pPr>
            <w:r>
              <w:rPr>
                <w:sz w:val="15"/>
                <w:szCs w:val="15"/>
              </w:rPr>
              <w:t xml:space="preserve">3,132,000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400"/>
            <w:shd w:fill="FBFAF6" w:val="clear"/>
            <w:tcMar>
              <w:top w:type="dxa" w:w="50"/>
              <w:left w:type="dxa" w:w="110"/>
              <w:bottom w:type="dxa" w:w="50"/>
              <w:right w:type="dxa" w:w="110"/>
            </w:tcMar>
          </w:tcPr>
          <w:p>
            <w:pPr>
              <w:spacing w:before="28" w:after="28"/>
            </w:pPr>
            <w:r>
              <w:rPr>
                <w:sz w:val="15"/>
                <w:szCs w:val="15"/>
              </w:rPr>
              <w:t xml:space="preserve">(626,400)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400"/>
            <w:tcMar>
              <w:top w:type="dxa" w:w="50"/>
              <w:left w:type="dxa" w:w="110"/>
              <w:bottom w:type="dxa" w:w="50"/>
              <w:right w:type="dxa" w:w="110"/>
            </w:tcMar>
          </w:tcPr>
          <w:p>
            <w:pPr>
              <w:spacing w:before="28" w:after="28"/>
            </w:pPr>
            <w:r>
              <w:rPr>
                <w:sz w:val="15"/>
                <w:szCs w:val="15"/>
              </w:rPr>
              <w:t xml:space="preserve">2,505,600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Interest   ·   Total contribution margin   ·   − Income tax at 20%   ·   = Profit before tax   ·   = Net income</w:t>
            </w:r>
          </w:p>
        </w:tc>
      </w:tr>
    </w:tbl>
    <w:p/>
    <w:p>
      <w:pPr>
        <w:spacing w:before="44" w:after="14"/>
      </w:pPr>
      <w:r>
        <w:rPr>
          <w:b/>
          <w:bCs/>
          <w:color w:val="353A7C"/>
          <w:sz w:val="18"/>
          <w:szCs w:val="18"/>
        </w:rPr>
        <w:t xml:space="preserve">Summary 1</w:t>
      </w:r>
      <w:r>
        <w:rPr>
          <w:color w:val="6B7280"/>
          <w:sz w:val="16"/>
          <w:szCs w:val="16"/>
        </w:rPr>
        <w:t xml:space="preserve">      gaps 5–7</w:t>
      </w:r>
    </w:p>
    <w:p>
      <w:pPr>
        <w:spacing w:before="20" w:after="20" w:line="360" w:lineRule="auto"/>
        <w:ind w:left="200"/>
      </w:pPr>
      <w:r>
        <w:rPr>
          <w:sz w:val="19"/>
          <w:szCs w:val="19"/>
        </w:rPr>
        <w:t xml:space="preserve">One plan is not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Sensitivity analysis prepares the statement under other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so that managers know which risks matter. </w:t>
      </w:r>
      <w:r>
        <w:rPr>
          <w:sz w:val="19"/>
          <w:szCs w:val="19"/>
        </w:rPr>
        <w:t xml:space="preserve">The contribution format: fixed costs stay the same, and only volume or the margin per case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enough   ·   changes   ·   question   ·   assumptions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three more assumptions</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If volume falls 5%,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income falls to $2,811,000. </w:t>
      </w:r>
      <w:r>
        <w:rPr>
          <w:sz w:val="19"/>
          <w:szCs w:val="19"/>
        </w:rPr>
        <w:t xml:space="preserve">If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costs 10% more, the margin falls from $8.20 to $7.66 a case and income to $2,694,000.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operating   ·   changes   ·   concentrate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51"/>
        <w:gridCol w:w="1945"/>
        <w:gridCol w:w="1999"/>
        <w:gridCol w:w="190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Operating income under four sets of assumptions</w:t>
            </w:r>
          </w:p>
        </w:tc>
      </w:tr>
      <w:tr>
        <w:tc>
          <w:tcPr>
            <w:tcW w:type="pct" w:w="1953"/>
            <w:shd w:fill="353A7C" w:val="clear"/>
            <w:tcMar>
              <w:top w:type="dxa" w:w="50"/>
              <w:left w:type="dxa" w:w="110"/>
              <w:bottom w:type="dxa" w:w="50"/>
              <w:right w:type="dxa" w:w="110"/>
            </w:tcMar>
          </w:tcPr>
          <w:p>
            <w:pPr>
              <w:spacing w:before="30" w:after="30"/>
            </w:pPr>
            <w:r>
              <w:rPr>
                <w:b/>
                <w:bCs/>
                <w:color w:val="FFFFFF"/>
                <w:sz w:val="15"/>
                <w:szCs w:val="15"/>
              </w:rPr>
              <w:t xml:space="preserve">Scenario (USD)</w:t>
            </w:r>
          </w:p>
        </w:tc>
        <w:tc>
          <w:tcPr>
            <w:tcW w:type="pct" w:w="1013"/>
            <w:shd w:fill="353A7C" w:val="clear"/>
            <w:tcMar>
              <w:top w:type="dxa" w:w="50"/>
              <w:left w:type="dxa" w:w="110"/>
              <w:bottom w:type="dxa" w:w="50"/>
              <w:right w:type="dxa" w:w="110"/>
            </w:tcMar>
          </w:tcPr>
          <w:p>
            <w:pPr>
              <w:spacing w:before="30" w:after="30"/>
            </w:pPr>
            <w:r>
              <w:rPr>
                <w:b/>
                <w:bCs/>
                <w:color w:val="FFFFFF"/>
                <w:sz w:val="15"/>
                <w:szCs w:val="15"/>
              </w:rPr>
              <w:t xml:space="preserve">Base plan</w:t>
            </w:r>
          </w:p>
        </w:tc>
        <w:tc>
          <w:tcPr>
            <w:tcW w:type="pct" w:w="1041"/>
            <w:shd w:fill="353A7C" w:val="clear"/>
            <w:tcMar>
              <w:top w:type="dxa" w:w="50"/>
              <w:left w:type="dxa" w:w="110"/>
              <w:bottom w:type="dxa" w:w="50"/>
              <w:right w:type="dxa" w:w="110"/>
            </w:tcMar>
          </w:tcPr>
          <w:p>
            <w:pPr>
              <w:spacing w:before="30" w:after="30"/>
            </w:pPr>
            <w:r>
              <w:rPr>
                <w:b/>
                <w:bCs/>
                <w:color w:val="FFFFFF"/>
                <w:sz w:val="15"/>
                <w:szCs w:val="15"/>
              </w:rPr>
              <w:t xml:space="preserve">Concentrate +10%</w:t>
            </w:r>
          </w:p>
        </w:tc>
        <w:tc>
          <w:tcPr>
            <w:tcW w:type="pct" w:w="993"/>
            <w:shd w:fill="353A7C" w:val="clear"/>
            <w:tcMar>
              <w:top w:type="dxa" w:w="50"/>
              <w:left w:type="dxa" w:w="110"/>
              <w:bottom w:type="dxa" w:w="50"/>
              <w:right w:type="dxa" w:w="110"/>
            </w:tcMar>
          </w:tcPr>
          <w:p>
            <w:pPr>
              <w:spacing w:before="30" w:after="30"/>
            </w:pPr>
            <w:r>
              <w:rPr>
                <w:b/>
                <w:bCs/>
                <w:color w:val="FFFFFF"/>
                <w:sz w:val="15"/>
                <w:szCs w:val="15"/>
              </w:rPr>
              <w:t xml:space="preserve">Both</w:t>
            </w:r>
          </w:p>
        </w:tc>
      </w:tr>
      <w:tr>
        <w:tc>
          <w:tcPr>
            <w:tcW w:type="pct" w:w="1953"/>
            <w:tcMar>
              <w:top w:type="dxa" w:w="50"/>
              <w:left w:type="dxa" w:w="110"/>
              <w:bottom w:type="dxa" w:w="50"/>
              <w:right w:type="dxa" w:w="110"/>
            </w:tcMar>
          </w:tcPr>
          <w:p>
            <w:pPr>
              <w:spacing w:before="28" w:after="28"/>
            </w:pPr>
            <w:r>
              <w:rPr>
                <w:sz w:val="15"/>
                <w:szCs w:val="15"/>
              </w:rPr>
              <w:t xml:space="preserve">Cases sold</w:t>
            </w:r>
          </w:p>
        </w:tc>
        <w:tc>
          <w:tcPr>
            <w:tcW w:type="pct" w:w="1013"/>
            <w:tcMar>
              <w:top w:type="dxa" w:w="50"/>
              <w:left w:type="dxa" w:w="110"/>
              <w:bottom w:type="dxa" w:w="50"/>
              <w:right w:type="dxa" w:w="110"/>
            </w:tcMar>
          </w:tcPr>
          <w:p>
            <w:pPr>
              <w:spacing w:before="28" w:after="28"/>
            </w:pPr>
            <w:r>
              <w:rPr>
                <w:sz w:val="15"/>
                <w:szCs w:val="15"/>
              </w:rPr>
              <w:t xml:space="preserve">900,000</w:t>
            </w:r>
          </w:p>
        </w:tc>
        <w:tc>
          <w:tcPr>
            <w:tcW w:type="pct" w:w="1041"/>
            <w:tcMar>
              <w:top w:type="dxa" w:w="50"/>
              <w:left w:type="dxa" w:w="110"/>
              <w:bottom w:type="dxa" w:w="50"/>
              <w:right w:type="dxa" w:w="110"/>
            </w:tcMar>
          </w:tcPr>
          <w:p>
            <w:pPr>
              <w:spacing w:before="28" w:after="28"/>
            </w:pPr>
            <w:r>
              <w:rPr>
                <w:sz w:val="15"/>
                <w:szCs w:val="15"/>
              </w:rPr>
              <w:t xml:space="preserve">900,000</w:t>
            </w:r>
          </w:p>
        </w:tc>
        <w:tc>
          <w:tcPr>
            <w:tcW w:type="pct" w:w="993"/>
            <w:tcMar>
              <w:top w:type="dxa" w:w="50"/>
              <w:left w:type="dxa" w:w="110"/>
              <w:bottom w:type="dxa" w:w="50"/>
              <w:right w:type="dxa" w:w="110"/>
            </w:tcMar>
          </w:tcPr>
          <w:p>
            <w:pPr>
              <w:spacing w:before="28" w:after="28"/>
            </w:pPr>
            <w:r>
              <w:rPr>
                <w:sz w:val="15"/>
                <w:szCs w:val="15"/>
              </w:rPr>
              <w:t xml:space="preserve">855,000</w:t>
            </w:r>
          </w:p>
        </w:tc>
      </w:tr>
      <w:tr>
        <w:tc>
          <w:tcPr>
            <w:tcW w:type="pct" w:w="1953"/>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013"/>
            <w:shd w:fill="FBFAF6" w:val="clear"/>
            <w:tcMar>
              <w:top w:type="dxa" w:w="50"/>
              <w:left w:type="dxa" w:w="110"/>
              <w:bottom w:type="dxa" w:w="50"/>
              <w:right w:type="dxa" w:w="110"/>
            </w:tcMar>
          </w:tcPr>
          <w:p>
            <w:pPr>
              <w:spacing w:before="28" w:after="28"/>
            </w:pPr>
            <w:r>
              <w:rPr>
                <w:sz w:val="15"/>
                <w:szCs w:val="15"/>
              </w:rPr>
              <w:t xml:space="preserve">$8.20</w:t>
            </w:r>
          </w:p>
        </w:tc>
        <w:tc>
          <w:tcPr>
            <w:tcW w:type="pct" w:w="1041"/>
            <w:shd w:fill="FBFAF6" w:val="clear"/>
            <w:tcMar>
              <w:top w:type="dxa" w:w="50"/>
              <w:left w:type="dxa" w:w="110"/>
              <w:bottom w:type="dxa" w:w="50"/>
              <w:right w:type="dxa" w:w="110"/>
            </w:tcMar>
          </w:tcPr>
          <w:p>
            <w:pPr>
              <w:spacing w:before="28" w:after="28"/>
            </w:pPr>
            <w:r>
              <w:rPr>
                <w:sz w:val="15"/>
                <w:szCs w:val="15"/>
              </w:rPr>
              <w:t xml:space="preserve">$7.66</w:t>
            </w:r>
          </w:p>
        </w:tc>
        <w:tc>
          <w:tcPr>
            <w:tcW w:type="pct" w:w="993"/>
            <w:shd w:fill="FBFAF6" w:val="clear"/>
            <w:tcMar>
              <w:top w:type="dxa" w:w="50"/>
              <w:left w:type="dxa" w:w="110"/>
              <w:bottom w:type="dxa" w:w="50"/>
              <w:right w:type="dxa" w:w="110"/>
            </w:tcMar>
          </w:tcPr>
          <w:p>
            <w:pPr>
              <w:spacing w:before="28" w:after="28"/>
            </w:pPr>
            <w:r>
              <w:rPr>
                <w:sz w:val="15"/>
                <w:szCs w:val="15"/>
              </w:rPr>
              <w:t xml:space="preserve">$7.66</w:t>
            </w:r>
          </w:p>
        </w:tc>
      </w:tr>
      <w:tr>
        <w:tc>
          <w:tcPr>
            <w:tcW w:type="pct" w:w="1953"/>
            <w:tcMar>
              <w:top w:type="dxa" w:w="50"/>
              <w:left w:type="dxa" w:w="110"/>
              <w:bottom w:type="dxa" w:w="50"/>
              <w:right w:type="dxa" w:w="110"/>
            </w:tcMar>
          </w:tcPr>
          <w:p>
            <w:pPr>
              <w:spacing w:before="28" w:after="28"/>
            </w:pPr>
            <w:r>
              <w:rPr>
                <w:sz w:val="15"/>
                <w:szCs w:val="15"/>
              </w:rPr>
              <w:t xml:space="preserve">Total contribution margin</w:t>
            </w:r>
          </w:p>
        </w:tc>
        <w:tc>
          <w:tcPr>
            <w:tcW w:type="pct" w:w="1013"/>
            <w:tcMar>
              <w:top w:type="dxa" w:w="50"/>
              <w:left w:type="dxa" w:w="110"/>
              <w:bottom w:type="dxa" w:w="50"/>
              <w:right w:type="dxa" w:w="110"/>
            </w:tcMar>
          </w:tcPr>
          <w:p>
            <w:pPr>
              <w:spacing w:before="28" w:after="28"/>
            </w:pPr>
            <w:r>
              <w:rPr>
                <w:sz w:val="15"/>
                <w:szCs w:val="15"/>
              </w:rPr>
              <w:t xml:space="preserve">7,380,000</w:t>
            </w:r>
          </w:p>
        </w:tc>
        <w:tc>
          <w:tcPr>
            <w:tcW w:type="pct" w:w="1041"/>
            <w:tcMar>
              <w:top w:type="dxa" w:w="50"/>
              <w:left w:type="dxa" w:w="110"/>
              <w:bottom w:type="dxa" w:w="50"/>
              <w:right w:type="dxa" w:w="110"/>
            </w:tcMar>
          </w:tcPr>
          <w:p>
            <w:pPr>
              <w:spacing w:before="28" w:after="28"/>
            </w:pPr>
            <w:r>
              <w:rPr>
                <w:sz w:val="15"/>
                <w:szCs w:val="15"/>
              </w:rPr>
              <w:t xml:space="preserve">6,894,000</w:t>
            </w:r>
          </w:p>
        </w:tc>
        <w:tc>
          <w:tcPr>
            <w:tcW w:type="pct" w:w="993"/>
            <w:tcMar>
              <w:top w:type="dxa" w:w="50"/>
              <w:left w:type="dxa" w:w="110"/>
              <w:bottom w:type="dxa" w:w="50"/>
              <w:right w:type="dxa" w:w="110"/>
            </w:tcMar>
          </w:tcPr>
          <w:p>
            <w:pPr>
              <w:spacing w:before="28" w:after="28"/>
            </w:pPr>
            <w:r>
              <w:rPr>
                <w:sz w:val="15"/>
                <w:szCs w:val="15"/>
              </w:rPr>
              <w:t xml:space="preserve">6,549,300</w:t>
            </w:r>
          </w:p>
        </w:tc>
      </w:tr>
      <w:tr>
        <w:tc>
          <w:tcPr>
            <w:tcW w:type="pct" w:w="1953"/>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013"/>
            <w:shd w:fill="FBFAF6" w:val="clear"/>
            <w:tcMar>
              <w:top w:type="dxa" w:w="50"/>
              <w:left w:type="dxa" w:w="110"/>
              <w:bottom w:type="dxa" w:w="50"/>
              <w:right w:type="dxa" w:w="110"/>
            </w:tcMar>
          </w:tcPr>
          <w:p>
            <w:pPr>
              <w:spacing w:before="28" w:after="28"/>
            </w:pPr>
            <w:r>
              <w:rPr>
                <w:sz w:val="15"/>
                <w:szCs w:val="15"/>
              </w:rPr>
              <w:t xml:space="preserve">(4,200,000)</w:t>
            </w:r>
          </w:p>
        </w:tc>
        <w:tc>
          <w:tcPr>
            <w:tcW w:type="pct" w:w="1041"/>
            <w:shd w:fill="FBFAF6" w:val="clear"/>
            <w:tcMar>
              <w:top w:type="dxa" w:w="50"/>
              <w:left w:type="dxa" w:w="110"/>
              <w:bottom w:type="dxa" w:w="50"/>
              <w:right w:type="dxa" w:w="110"/>
            </w:tcMar>
          </w:tcPr>
          <w:p>
            <w:pPr>
              <w:spacing w:before="28" w:after="28"/>
            </w:pPr>
            <w:r>
              <w:rPr>
                <w:sz w:val="15"/>
                <w:szCs w:val="15"/>
              </w:rPr>
              <w:t xml:space="preserve">(4,200,000)</w:t>
            </w:r>
          </w:p>
        </w:tc>
        <w:tc>
          <w:tcPr>
            <w:tcW w:type="pct" w:w="993"/>
            <w:shd w:fill="FBFAF6" w:val="clear"/>
            <w:tcMar>
              <w:top w:type="dxa" w:w="50"/>
              <w:left w:type="dxa" w:w="110"/>
              <w:bottom w:type="dxa" w:w="50"/>
              <w:right w:type="dxa" w:w="110"/>
            </w:tcMar>
          </w:tcPr>
          <w:p>
            <w:pPr>
              <w:spacing w:before="28" w:after="28"/>
            </w:pPr>
            <w:r>
              <w:rPr>
                <w:sz w:val="15"/>
                <w:szCs w:val="15"/>
              </w:rPr>
              <w:t xml:space="preserve">(4,200,000)</w:t>
            </w:r>
          </w:p>
        </w:tc>
      </w:tr>
      <w:tr>
        <w:tc>
          <w:tcPr>
            <w:tcW w:type="pct" w:w="1953"/>
            <w:tcMar>
              <w:top w:type="dxa" w:w="50"/>
              <w:left w:type="dxa" w:w="110"/>
              <w:bottom w:type="dxa" w:w="50"/>
              <w:right w:type="dxa" w:w="110"/>
            </w:tcMar>
          </w:tcPr>
          <w:p>
            <w:pPr>
              <w:spacing w:before="28" w:after="28"/>
            </w:pPr>
            <w:r>
              <w:rPr>
                <w:sz w:val="15"/>
                <w:szCs w:val="15"/>
              </w:rPr>
              <w:t xml:space="preserve">= Operating income</w:t>
            </w:r>
          </w:p>
        </w:tc>
        <w:tc>
          <w:tcPr>
            <w:tcW w:type="pct" w:w="1013"/>
            <w:tcMar>
              <w:top w:type="dxa" w:w="50"/>
              <w:left w:type="dxa" w:w="110"/>
              <w:bottom w:type="dxa" w:w="50"/>
              <w:right w:type="dxa" w:w="110"/>
            </w:tcMar>
          </w:tcPr>
          <w:p>
            <w:pPr>
              <w:spacing w:before="28" w:after="28"/>
            </w:pPr>
            <w:r>
              <w:rPr>
                <w:sz w:val="15"/>
                <w:szCs w:val="15"/>
              </w:rPr>
              <w:t xml:space="preserve">3,180,000</w:t>
            </w:r>
          </w:p>
        </w:tc>
        <w:tc>
          <w:tcPr>
            <w:tcW w:type="pct" w:w="1041"/>
            <w:tcMar>
              <w:top w:type="dxa" w:w="50"/>
              <w:left w:type="dxa" w:w="110"/>
              <w:bottom w:type="dxa" w:w="50"/>
              <w:right w:type="dxa" w:w="110"/>
            </w:tcMar>
          </w:tcPr>
          <w:p>
            <w:pPr>
              <w:spacing w:before="28" w:after="28"/>
            </w:pPr>
            <w:r>
              <w:rPr>
                <w:sz w:val="15"/>
                <w:szCs w:val="15"/>
              </w:rPr>
              <w:t xml:space="preserve">2,694,000</w:t>
            </w:r>
          </w:p>
        </w:tc>
        <w:tc>
          <w:tcPr>
            <w:tcW w:type="pct" w:w="993"/>
            <w:tcMar>
              <w:top w:type="dxa" w:w="50"/>
              <w:left w:type="dxa" w:w="110"/>
              <w:bottom w:type="dxa" w:w="50"/>
              <w:right w:type="dxa" w:w="110"/>
            </w:tcMar>
          </w:tcPr>
          <w:p>
            <w:pPr>
              <w:spacing w:before="28" w:after="28"/>
            </w:pPr>
            <w:r>
              <w:rPr>
                <w:sz w:val="15"/>
                <w:szCs w:val="15"/>
              </w:rPr>
              <w:t xml:space="preserve">2,349,300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 forma balance sheet   ·   Contribution margin a case   ·   − Fixed costs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Both at once</w:t>
            </w:r>
          </w:p>
        </w:tc>
      </w:tr>
    </w:tbl>
    <w:p/>
    <w:p>
      <w:pPr>
        <w:pageBreakBefore w:val="true"/>
        <w:spacing w:after="0"/>
      </w:pPr>
      <w:r>
        <w:rPr>
          <w:sz w:val="2"/>
        </w:rPr>
        <w:t xml:space="preserve"> </w:t>
      </w:r>
    </w:p>
    <w:p>
      <w:pPr>
        <w:spacing w:before="20" w:after="20" w:line="360" w:lineRule="auto"/>
        <w:ind w:left="200"/>
      </w:pPr>
      <w:r>
        <w:rPr>
          <w:sz w:val="19"/>
          <w:szCs w:val="19"/>
        </w:rPr>
        <w:t xml:space="preserve">Complete the last column, where volume falls and concentrate costs more.</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Fixed costs stay fixed</w:t>
            </w:r>
          </w:p>
        </w:tc>
      </w:tr>
    </w:tbl>
    <w:p/>
    <w:p>
      <w:pPr>
        <w:spacing w:before="44" w:after="14"/>
      </w:pPr>
      <w:r>
        <w:rPr>
          <w:b/>
          <w:bCs/>
          <w:color w:val="353A7C"/>
          <w:sz w:val="18"/>
          <w:szCs w:val="18"/>
        </w:rPr>
        <w:t xml:space="preserve">Summary 3</w:t>
      </w:r>
      <w:r>
        <w:rPr>
          <w:color w:val="6B7280"/>
          <w:sz w:val="16"/>
          <w:szCs w:val="16"/>
        </w:rPr>
        <w:t xml:space="preserve">      gaps 12–14</w:t>
      </w:r>
    </w:p>
    <w:p>
      <w:pPr>
        <w:spacing w:before="20" w:after="20" w:line="360" w:lineRule="auto"/>
        <w:ind w:left="200"/>
      </w:pPr>
      <w:r>
        <w:rPr>
          <w:sz w:val="19"/>
          <w:szCs w:val="19"/>
        </w:rPr>
        <w:t xml:space="preserve">In a scenario, fixed costs do not change with volume and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cost per unit does not change unless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says so. </w:t>
      </w:r>
      <w:r>
        <w:rPr>
          <w:sz w:val="19"/>
          <w:szCs w:val="19"/>
        </w:rPr>
        <w:t xml:space="preserve">Changing both at once is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error in sensitivity questions.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statement   ·   question   ·   commonest   ·   variable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sensitivity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الحساسية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10.2  The pro forma income statement and its assumptions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 Interest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operating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 Profit before tax</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concentrate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 Income tax at 20%</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Contribution margin a case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 Net income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 Fixed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enough</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assumptions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changes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commonest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One plan is not enough. Sensitivity analysis prepares the statement under other assumptions, so that managers know which risks matter. The contribution format: fixed costs stay the same, and only volume or the margin per case changes.</w:t>
      </w:r>
    </w:p>
    <w:p>
      <w:pPr>
        <w:spacing w:before="20" w:after="20"/>
        <w:ind w:left="240" w:hanging="240"/>
      </w:pPr>
      <w:r>
        <w:rPr>
          <w:b/>
          <w:bCs/>
          <w:color w:val="353A7C"/>
          <w:sz w:val="15"/>
          <w:szCs w:val="15"/>
        </w:rPr>
        <w:t xml:space="preserve">Summary 2   </w:t>
      </w:r>
      <w:r>
        <w:rPr>
          <w:color w:val="6B7280"/>
          <w:sz w:val="15"/>
          <w:szCs w:val="15"/>
        </w:rPr>
        <w:t xml:space="preserve">If volume falls 5%, operating income falls to $2,811,000. If concentrate costs 10% more, the margin falls from $8.20 to $7.66 a case and income to $2,694,000.</w:t>
      </w:r>
    </w:p>
    <w:p>
      <w:pPr>
        <w:spacing w:before="20" w:after="20"/>
        <w:ind w:left="240" w:hanging="240"/>
      </w:pPr>
      <w:r>
        <w:rPr>
          <w:b/>
          <w:bCs/>
          <w:color w:val="353A7C"/>
          <w:sz w:val="15"/>
          <w:szCs w:val="15"/>
        </w:rPr>
        <w:t xml:space="preserve">Summary 3   </w:t>
      </w:r>
      <w:r>
        <w:rPr>
          <w:color w:val="6B7280"/>
          <w:sz w:val="15"/>
          <w:szCs w:val="15"/>
        </w:rPr>
        <w:t xml:space="preserve">In a scenario, fixed costs do not change with volume and the variable cost per unit does not change unless the question says so. Changing both at once is the commonest error in sensitivity questions.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10.3  Testing the strategic objectives</w:t>
            </w:r>
          </w:p>
          <w:p>
            <w:pPr>
              <w:spacing w:before="0" w:after="46"/>
            </w:pPr>
            <w:r>
              <w:rPr>
                <w:color w:val="E8EAF6"/>
                <w:sz w:val="16"/>
                <w:szCs w:val="16"/>
              </w:rPr>
              <w:t xml:space="preserve">Chapter 10 · section 10.3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plan is not good merely because it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It must move the company towards the objectives set in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plan.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profitable   ·   measured   ·   strategic</w:t>
            </w:r>
          </w:p>
        </w:tc>
      </w:tr>
    </w:tbl>
    <w:p/>
    <w:p>
      <w:pPr>
        <w:spacing w:before="44" w:after="10"/>
      </w:pPr>
      <w:r>
        <w:rPr>
          <w:b/>
          <w:bCs/>
          <w:color w:val="353A7C"/>
          <w:sz w:val="18"/>
          <w:szCs w:val="18"/>
        </w:rPr>
        <w:t xml:space="preserve">Testing the plan against the 2028 strategic objectives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25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55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Energy per case of juice (kWh)   ·   Operating income if volume falls 5%</w:t>
            </w:r>
          </w:p>
        </w:tc>
      </w:tr>
    </w:tbl>
    <w:p/>
    <w:p>
      <w:pPr>
        <w:spacing w:before="44" w:after="14"/>
      </w:pPr>
      <w:r>
        <w:rPr>
          <w:b/>
          <w:bCs/>
          <w:color w:val="353A7C"/>
          <w:sz w:val="18"/>
          <w:szCs w:val="18"/>
        </w:rPr>
        <w:t xml:space="preserve">Summary 2</w:t>
      </w:r>
      <w:r>
        <w:rPr>
          <w:color w:val="6B7280"/>
          <w:sz w:val="16"/>
          <w:szCs w:val="16"/>
        </w:rPr>
        <w:t xml:space="preserve">      gaps 4–9</w:t>
      </w:r>
    </w:p>
    <w:p>
      <w:pPr>
        <w:spacing w:before="20" w:after="20" w:line="360" w:lineRule="auto"/>
        <w:ind w:left="200"/>
      </w:pP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return on investment is 23.2%: net income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by average total assets. </w:t>
      </w:r>
      <w:r>
        <w:rPr>
          <w:sz w:val="19"/>
          <w:szCs w:val="19"/>
        </w:rPr>
        <w:t xml:space="preserve">That is well above the group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11.8%, as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division with older assets should be. </w:t>
      </w:r>
      <w:r>
        <w:rPr>
          <w:sz w:val="19"/>
          <w:szCs w:val="19"/>
        </w:rPr>
        <w:t xml:space="preserve">The plan meets the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objectives, but not in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where volume falls. </w:t>
      </w:r>
      <w:r>
        <w:rPr>
          <w:sz w:val="19"/>
          <w:szCs w:val="19"/>
        </w:rPr>
        <w:t xml:space="preserve">Some objectives, such as energy per case, are not measured in money and do not appear in these statements. </w:t>
      </w:r>
      <w:r>
        <w:rPr>
          <w:sz w:val="19"/>
          <w:szCs w:val="19"/>
        </w:rPr>
        <w:t xml:space="preserve">They are followed through the balanced scorecard.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divided   ·   measured   ·   financial   ·   objective   ·   mature   ·   division's   ·   scenario</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10.3  Testing the strategic objectives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profitable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objective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strategic</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mature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Operating income if volume falls 5%</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financial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division's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scenario</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divided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plan is not good merely because it is profitable. It must move the company towards the objectives set in the strategic plan.</w:t>
      </w:r>
    </w:p>
    <w:p>
      <w:pPr>
        <w:spacing w:before="20" w:after="20"/>
        <w:ind w:left="240" w:hanging="240"/>
      </w:pPr>
      <w:r>
        <w:rPr>
          <w:b/>
          <w:bCs/>
          <w:color w:val="353A7C"/>
          <w:sz w:val="15"/>
          <w:szCs w:val="15"/>
        </w:rPr>
        <w:t xml:space="preserve">Summary 2   </w:t>
      </w:r>
      <w:r>
        <w:rPr>
          <w:color w:val="6B7280"/>
          <w:sz w:val="15"/>
          <w:szCs w:val="15"/>
        </w:rPr>
        <w:t xml:space="preserve">The division's return on investment is 23.2%: net income divided by average total assets. That is well above the group objective of 11.8%, as a mature division with older assets should be. The plan meets the financial objectives, but not in the scenario where volume falls. Some objectives, such as energy per case, are not measured in money and do not appear in these statements. They are followed through the balanced scorecard.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10.4  The pro forma balance sheet and statement of cash flows</w:t>
            </w:r>
          </w:p>
          <w:p>
            <w:pPr>
              <w:spacing w:before="0" w:after="46"/>
            </w:pPr>
            <w:r>
              <w:rPr>
                <w:color w:val="E8EAF6"/>
                <w:sz w:val="16"/>
                <w:szCs w:val="16"/>
              </w:rPr>
              <w:t xml:space="preserve">Chapter 10 · section 10.4</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Every line of the pro forma balance sheet comes from a schedule already prepared.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82"/>
        <w:gridCol w:w="1388"/>
        <w:gridCol w:w="1472"/>
        <w:gridCol w:w="325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Worked example: the pro forma balance sheet</w:t>
            </w:r>
          </w:p>
        </w:tc>
      </w:tr>
      <w:tr>
        <w:tc>
          <w:tcPr>
            <w:tcW w:type="pct" w:w="1813"/>
            <w:shd w:fill="353A7C" w:val="clear"/>
            <w:tcMar>
              <w:top w:type="dxa" w:w="50"/>
              <w:left w:type="dxa" w:w="110"/>
              <w:bottom w:type="dxa" w:w="50"/>
              <w:right w:type="dxa" w:w="110"/>
            </w:tcMar>
          </w:tcPr>
          <w:p>
            <w:pPr>
              <w:spacing w:before="30" w:after="30"/>
            </w:pPr>
            <w:r>
              <w:rPr>
                <w:b/>
                <w:bCs/>
                <w:color w:val="FFFFFF"/>
                <w:sz w:val="15"/>
                <w:szCs w:val="15"/>
              </w:rPr>
              <w:t xml:space="preserve">Pro forma balance sheet (USD)</w:t>
            </w:r>
          </w:p>
        </w:tc>
        <w:tc>
          <w:tcPr>
            <w:tcW w:type="pct" w:w="723"/>
            <w:shd w:fill="353A7C" w:val="clear"/>
            <w:tcMar>
              <w:top w:type="dxa" w:w="50"/>
              <w:left w:type="dxa" w:w="110"/>
              <w:bottom w:type="dxa" w:w="50"/>
              <w:right w:type="dxa" w:w="110"/>
            </w:tcMar>
          </w:tcPr>
          <w:p>
            <w:pPr>
              <w:spacing w:before="30" w:after="30"/>
            </w:pPr>
            <w:r>
              <w:rPr>
                <w:b/>
                <w:bCs/>
                <w:color w:val="FFFFFF"/>
                <w:sz w:val="15"/>
                <w:szCs w:val="15"/>
              </w:rPr>
              <w:t xml:space="preserve">1 Jan 2028</w:t>
            </w:r>
          </w:p>
        </w:tc>
        <w:tc>
          <w:tcPr>
            <w:tcW w:type="pct" w:w="766"/>
            <w:shd w:fill="353A7C" w:val="clear"/>
            <w:tcMar>
              <w:top w:type="dxa" w:w="50"/>
              <w:left w:type="dxa" w:w="110"/>
              <w:bottom w:type="dxa" w:w="50"/>
              <w:right w:type="dxa" w:w="110"/>
            </w:tcMar>
          </w:tcPr>
          <w:p>
            <w:pPr>
              <w:spacing w:before="30" w:after="30"/>
            </w:pPr>
            <w:r>
              <w:rPr>
                <w:b/>
                <w:bCs/>
                <w:color w:val="FFFFFF"/>
                <w:sz w:val="15"/>
                <w:szCs w:val="15"/>
              </w:rPr>
              <w:t xml:space="preserve">31 Dec 2028</w:t>
            </w:r>
          </w:p>
        </w:tc>
        <w:tc>
          <w:tcPr>
            <w:tcW w:type="pct" w:w="1697"/>
            <w:shd w:fill="353A7C" w:val="clear"/>
            <w:tcMar>
              <w:top w:type="dxa" w:w="50"/>
              <w:left w:type="dxa" w:w="110"/>
              <w:bottom w:type="dxa" w:w="50"/>
              <w:right w:type="dxa" w:w="110"/>
            </w:tcMar>
          </w:tcPr>
          <w:p>
            <w:pPr>
              <w:spacing w:before="30" w:after="30"/>
            </w:pPr>
            <w:r>
              <w:rPr>
                <w:b/>
                <w:bCs/>
                <w:color w:val="FFFFFF"/>
                <w:sz w:val="15"/>
                <w:szCs w:val="15"/>
              </w:rPr>
              <w:t xml:space="preserve">Source</w:t>
            </w:r>
          </w:p>
        </w:tc>
      </w:tr>
      <w:tr>
        <w:tc>
          <w:tcPr>
            <w:tcW w:type="pct" w:w="1813"/>
            <w:tcMar>
              <w:top w:type="dxa" w:w="50"/>
              <w:left w:type="dxa" w:w="110"/>
              <w:bottom w:type="dxa" w:w="50"/>
              <w:right w:type="dxa" w:w="110"/>
            </w:tcMar>
          </w:tcPr>
          <w:p>
            <w:pPr>
              <w:spacing w:before="28" w:after="28"/>
            </w:pPr>
            <w:r>
              <w:rPr>
                <w:sz w:val="15"/>
                <w:szCs w:val="15"/>
              </w:rPr>
              <w:t xml:space="preserve">Cash</w:t>
            </w:r>
          </w:p>
        </w:tc>
        <w:tc>
          <w:tcPr>
            <w:tcW w:type="pct" w:w="723"/>
            <w:tcMar>
              <w:top w:type="dxa" w:w="50"/>
              <w:left w:type="dxa" w:w="110"/>
              <w:bottom w:type="dxa" w:w="50"/>
              <w:right w:type="dxa" w:w="110"/>
            </w:tcMar>
          </w:tcPr>
          <w:p>
            <w:pPr>
              <w:spacing w:before="28" w:after="28"/>
            </w:pPr>
            <w:r>
              <w:rPr>
                <w:sz w:val="15"/>
                <w:szCs w:val="15"/>
              </w:rPr>
              <w:t xml:space="preserve">500,000</w:t>
            </w:r>
          </w:p>
        </w:tc>
        <w:tc>
          <w:tcPr>
            <w:tcW w:type="pct" w:w="766"/>
            <w:tcMar>
              <w:top w:type="dxa" w:w="50"/>
              <w:left w:type="dxa" w:w="110"/>
              <w:bottom w:type="dxa" w:w="50"/>
              <w:right w:type="dxa" w:w="110"/>
            </w:tcMar>
          </w:tcPr>
          <w:p>
            <w:pPr>
              <w:spacing w:before="28" w:after="28"/>
            </w:pPr>
            <w:r>
              <w:rPr>
                <w:sz w:val="15"/>
                <w:szCs w:val="15"/>
              </w:rPr>
              <w:t xml:space="preserve">1,702,450</w:t>
            </w:r>
          </w:p>
        </w:tc>
        <w:tc>
          <w:tcPr>
            <w:tcW w:type="pct" w:w="1697"/>
            <w:tcMar>
              <w:top w:type="dxa" w:w="50"/>
              <w:left w:type="dxa" w:w="110"/>
              <w:bottom w:type="dxa" w:w="50"/>
              <w:right w:type="dxa" w:w="110"/>
            </w:tcMar>
          </w:tcPr>
          <w:p>
            <w:pPr>
              <w:spacing w:before="28" w:after="28"/>
            </w:pPr>
            <w:r>
              <w:rPr>
                <w:sz w:val="15"/>
                <w:szCs w:val="15"/>
              </w:rPr>
              <w:t xml:space="preserve">Cash budget</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Receivables</w:t>
            </w:r>
          </w:p>
        </w:tc>
        <w:tc>
          <w:tcPr>
            <w:tcW w:type="pct" w:w="723"/>
            <w:shd w:fill="FBFAF6" w:val="clear"/>
            <w:tcMar>
              <w:top w:type="dxa" w:w="50"/>
              <w:left w:type="dxa" w:w="110"/>
              <w:bottom w:type="dxa" w:w="50"/>
              <w:right w:type="dxa" w:w="110"/>
            </w:tcMar>
          </w:tcPr>
          <w:p>
            <w:pPr>
              <w:spacing w:before="28" w:after="28"/>
            </w:pPr>
            <w:r>
              <w:rPr>
                <w:sz w:val="15"/>
                <w:szCs w:val="15"/>
              </w:rPr>
              <w:t xml:space="preserve">2,460,000</w:t>
            </w:r>
          </w:p>
        </w:tc>
        <w:tc>
          <w:tcPr>
            <w:tcW w:type="pct" w:w="766"/>
            <w:shd w:fill="FBFAF6" w:val="clear"/>
            <w:tcMar>
              <w:top w:type="dxa" w:w="50"/>
              <w:left w:type="dxa" w:w="110"/>
              <w:bottom w:type="dxa" w:w="50"/>
              <w:right w:type="dxa" w:w="110"/>
            </w:tcMar>
          </w:tcPr>
          <w:p>
            <w:pPr>
              <w:spacing w:before="28" w:after="28"/>
            </w:pPr>
            <w:r>
              <w:rPr>
                <w:sz w:val="15"/>
                <w:szCs w:val="15"/>
              </w:rPr>
              <w:t xml:space="preserve">2,700,000</w:t>
            </w:r>
          </w:p>
        </w:tc>
        <w:tc>
          <w:tcPr>
            <w:tcW w:type="pct" w:w="1697"/>
            <w:shd w:fill="FBFAF6" w:val="clear"/>
            <w:tcMar>
              <w:top w:type="dxa" w:w="50"/>
              <w:left w:type="dxa" w:w="110"/>
              <w:bottom w:type="dxa" w:w="50"/>
              <w:right w:type="dxa" w:w="110"/>
            </w:tcMar>
          </w:tcPr>
          <w:p>
            <w:pPr>
              <w:spacing w:before="28" w:after="28"/>
            </w:pPr>
            <w:r>
              <w:rPr>
                <w:sz w:val="15"/>
                <w:szCs w:val="15"/>
              </w:rPr>
              <w:t xml:space="preserve">Collections schedule</w:t>
            </w:r>
          </w:p>
        </w:tc>
      </w:tr>
      <w:tr>
        <w:tc>
          <w:tcPr>
            <w:tcW w:type="pct" w:w="1813"/>
            <w:tcMar>
              <w:top w:type="dxa" w:w="50"/>
              <w:left w:type="dxa" w:w="110"/>
              <w:bottom w:type="dxa" w:w="50"/>
              <w:right w:type="dxa" w:w="110"/>
            </w:tcMar>
          </w:tcPr>
          <w:p>
            <w:pPr>
              <w:spacing w:before="28" w:after="28"/>
            </w:pPr>
            <w:r>
              <w:rPr>
                <w:sz w:val="15"/>
                <w:szCs w:val="15"/>
              </w:rPr>
              <w:t xml:space="preserve">Materials</w:t>
            </w:r>
          </w:p>
        </w:tc>
        <w:tc>
          <w:tcPr>
            <w:tcW w:type="pct" w:w="723"/>
            <w:tcMar>
              <w:top w:type="dxa" w:w="50"/>
              <w:left w:type="dxa" w:w="110"/>
              <w:bottom w:type="dxa" w:w="50"/>
              <w:right w:type="dxa" w:w="110"/>
            </w:tcMar>
          </w:tcPr>
          <w:p>
            <w:pPr>
              <w:spacing w:before="28" w:after="28"/>
            </w:pPr>
            <w:r>
              <w:rPr>
                <w:sz w:val="15"/>
                <w:szCs w:val="15"/>
              </w:rPr>
              <w:t xml:space="preserve">115,020</w:t>
            </w:r>
          </w:p>
        </w:tc>
        <w:tc>
          <w:tcPr>
            <w:tcW w:type="pct" w:w="766"/>
            <w:tcMar>
              <w:top w:type="dxa" w:w="50"/>
              <w:left w:type="dxa" w:w="110"/>
              <w:bottom w:type="dxa" w:w="50"/>
              <w:right w:type="dxa" w:w="110"/>
            </w:tcMar>
          </w:tcPr>
          <w:p>
            <w:pPr>
              <w:spacing w:before="28" w:after="28"/>
            </w:pPr>
            <w:r>
              <w:rPr>
                <w:sz w:val="15"/>
                <w:szCs w:val="15"/>
              </w:rPr>
              <w:t xml:space="preserve">117,720</w:t>
            </w:r>
          </w:p>
        </w:tc>
        <w:tc>
          <w:tcPr>
            <w:tcW w:type="pct" w:w="1697"/>
            <w:tcMar>
              <w:top w:type="dxa" w:w="50"/>
              <w:left w:type="dxa" w:w="110"/>
              <w:bottom w:type="dxa" w:w="50"/>
              <w:right w:type="dxa" w:w="110"/>
            </w:tcMar>
          </w:tcPr>
          <w:p>
            <w:pPr>
              <w:spacing w:before="28" w:after="28"/>
            </w:pPr>
            <w:r>
              <w:rPr>
                <w:sz w:val="15"/>
                <w:szCs w:val="15"/>
              </w:rPr>
              <w:t xml:space="preserve">Materials budget</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Finished goods</w:t>
            </w:r>
          </w:p>
        </w:tc>
        <w:tc>
          <w:tcPr>
            <w:tcW w:type="pct" w:w="723"/>
            <w:shd w:fill="FBFAF6" w:val="clear"/>
            <w:tcMar>
              <w:top w:type="dxa" w:w="50"/>
              <w:left w:type="dxa" w:w="110"/>
              <w:bottom w:type="dxa" w:w="50"/>
              <w:right w:type="dxa" w:w="110"/>
            </w:tcMar>
          </w:tcPr>
          <w:p>
            <w:pPr>
              <w:spacing w:before="28" w:after="28"/>
            </w:pPr>
            <w:r>
              <w:rPr>
                <w:sz w:val="15"/>
                <w:szCs w:val="15"/>
              </w:rPr>
              <w:t xml:space="preserve">529,200</w:t>
            </w:r>
          </w:p>
        </w:tc>
        <w:tc>
          <w:tcPr>
            <w:tcW w:type="pct" w:w="766"/>
            <w:shd w:fill="FBFAF6" w:val="clear"/>
            <w:tcMar>
              <w:top w:type="dxa" w:w="50"/>
              <w:left w:type="dxa" w:w="110"/>
              <w:bottom w:type="dxa" w:w="50"/>
              <w:right w:type="dxa" w:w="110"/>
            </w:tcMar>
          </w:tcPr>
          <w:p>
            <w:pPr>
              <w:spacing w:before="28" w:after="28"/>
            </w:pPr>
            <w:r>
              <w:rPr>
                <w:sz w:val="15"/>
                <w:szCs w:val="15"/>
              </w:rPr>
              <w:t xml:space="preserve">541,800</w:t>
            </w:r>
          </w:p>
        </w:tc>
        <w:tc>
          <w:tcPr>
            <w:tcW w:type="pct" w:w="1697"/>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813"/>
            <w:tcMar>
              <w:top w:type="dxa" w:w="50"/>
              <w:left w:type="dxa" w:w="110"/>
              <w:bottom w:type="dxa" w:w="50"/>
              <w:right w:type="dxa" w:w="110"/>
            </w:tcMar>
          </w:tcPr>
          <w:p>
            <w:pPr>
              <w:spacing w:before="28" w:after="28"/>
            </w:pPr>
            <w:r>
              <w:rPr>
                <w:sz w:val="15"/>
                <w:szCs w:val="15"/>
              </w:rPr>
              <w:t xml:space="preserve">Property, plant and equipment</w:t>
            </w:r>
          </w:p>
        </w:tc>
        <w:tc>
          <w:tcPr>
            <w:tcW w:type="pct" w:w="723"/>
            <w:tcMar>
              <w:top w:type="dxa" w:w="50"/>
              <w:left w:type="dxa" w:w="110"/>
              <w:bottom w:type="dxa" w:w="50"/>
              <w:right w:type="dxa" w:w="110"/>
            </w:tcMar>
          </w:tcPr>
          <w:p>
            <w:pPr>
              <w:spacing w:before="28" w:after="28"/>
            </w:pPr>
            <w:r>
              <w:rPr>
                <w:sz w:val="15"/>
                <w:szCs w:val="15"/>
              </w:rPr>
              <w:t xml:space="preserve">9,000,000</w:t>
            </w:r>
          </w:p>
        </w:tc>
        <w:tc>
          <w:tcPr>
            <w:tcW w:type="pct" w:w="766"/>
            <w:tcMar>
              <w:top w:type="dxa" w:w="50"/>
              <w:left w:type="dxa" w:w="110"/>
              <w:bottom w:type="dxa" w:w="50"/>
              <w:right w:type="dxa" w:w="110"/>
            </w:tcMar>
          </w:tcPr>
          <w:p>
            <w:pPr>
              <w:spacing w:before="28" w:after="28"/>
            </w:pPr>
            <w:r>
              <w:rPr>
                <w:sz w:val="15"/>
                <w:szCs w:val="15"/>
              </w:rPr>
              <w:t xml:space="preserve">11,500,000</w:t>
            </w:r>
          </w:p>
        </w:tc>
        <w:tc>
          <w:tcPr>
            <w:tcW w:type="pct" w:w="1697"/>
            <w:tcMar>
              <w:top w:type="dxa" w:w="50"/>
              <w:left w:type="dxa" w:w="110"/>
              <w:bottom w:type="dxa" w:w="50"/>
              <w:right w:type="dxa" w:w="110"/>
            </w:tcMar>
          </w:tcPr>
          <w:p>
            <w:pPr>
              <w:spacing w:before="28" w:after="28"/>
            </w:pPr>
            <w:r>
              <w:rPr>
                <w:sz w:val="15"/>
                <w:szCs w:val="15"/>
              </w:rPr>
              <w:t xml:space="preserve">Capital budget</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Accumulated depreciation</w:t>
            </w:r>
          </w:p>
        </w:tc>
        <w:tc>
          <w:tcPr>
            <w:tcW w:type="pct" w:w="723"/>
            <w:shd w:fill="FBFAF6" w:val="clear"/>
            <w:tcMar>
              <w:top w:type="dxa" w:w="50"/>
              <w:left w:type="dxa" w:w="110"/>
              <w:bottom w:type="dxa" w:w="50"/>
              <w:right w:type="dxa" w:w="110"/>
            </w:tcMar>
          </w:tcPr>
          <w:p>
            <w:pPr>
              <w:spacing w:before="28" w:after="28"/>
            </w:pPr>
            <w:r>
              <w:rPr>
                <w:sz w:val="15"/>
                <w:szCs w:val="15"/>
              </w:rPr>
              <w:t xml:space="preserve">(3,400,000)</w:t>
            </w:r>
          </w:p>
        </w:tc>
        <w:tc>
          <w:tcPr>
            <w:tcW w:type="pct" w:w="766"/>
            <w:shd w:fill="FBFAF6" w:val="clear"/>
            <w:tcMar>
              <w:top w:type="dxa" w:w="50"/>
              <w:left w:type="dxa" w:w="110"/>
              <w:bottom w:type="dxa" w:w="50"/>
              <w:right w:type="dxa" w:w="110"/>
            </w:tcMar>
          </w:tcPr>
          <w:p>
            <w:pPr>
              <w:spacing w:before="28" w:after="28"/>
            </w:pPr>
            <w:r>
              <w:rPr>
                <w:sz w:val="15"/>
                <w:szCs w:val="15"/>
              </w:rPr>
              <w:t xml:space="preserve">(4,200,000)</w:t>
            </w:r>
          </w:p>
        </w:tc>
        <w:tc>
          <w:tcPr>
            <w:tcW w:type="pct" w:w="1697"/>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813"/>
            <w:tcMar>
              <w:top w:type="dxa" w:w="50"/>
              <w:left w:type="dxa" w:w="110"/>
              <w:bottom w:type="dxa" w:w="50"/>
              <w:right w:type="dxa" w:w="110"/>
            </w:tcMar>
          </w:tcPr>
          <w:p>
            <w:pPr>
              <w:spacing w:before="28" w:after="28"/>
            </w:pPr>
            <w:r>
              <w:rPr>
                <w:sz w:val="15"/>
                <w:szCs w:val="15"/>
              </w:rPr>
              <w:t xml:space="preserve">Total assets</w:t>
            </w:r>
          </w:p>
        </w:tc>
        <w:tc>
          <w:tcPr>
            <w:tcW w:type="pct" w:w="723"/>
            <w:tcMar>
              <w:top w:type="dxa" w:w="50"/>
              <w:left w:type="dxa" w:w="110"/>
              <w:bottom w:type="dxa" w:w="50"/>
              <w:right w:type="dxa" w:w="110"/>
            </w:tcMar>
          </w:tcPr>
          <w:p>
            <w:pPr>
              <w:spacing w:before="28" w:after="28"/>
            </w:pPr>
            <w:r>
              <w:rPr>
                <w:sz w:val="15"/>
                <w:szCs w:val="15"/>
              </w:rPr>
              <w:t xml:space="preserve">9,204,220</w:t>
            </w:r>
          </w:p>
        </w:tc>
        <w:tc>
          <w:tcPr>
            <w:tcW w:type="pct" w:w="766"/>
            <w:tcMar>
              <w:top w:type="dxa" w:w="50"/>
              <w:left w:type="dxa" w:w="110"/>
              <w:bottom w:type="dxa" w:w="50"/>
              <w:right w:type="dxa" w:w="110"/>
            </w:tcMar>
          </w:tcPr>
          <w:p>
            <w:pPr>
              <w:spacing w:before="28" w:after="28"/>
            </w:pPr>
            <w:r>
              <w:rPr>
                <w:sz w:val="15"/>
                <w:szCs w:val="15"/>
              </w:rPr>
              <w:t xml:space="preserve">12,361,970</w:t>
            </w:r>
          </w:p>
        </w:tc>
        <w:tc>
          <w:tcPr>
            <w:tcW w:type="pct" w:w="1697"/>
            <w:tcMar>
              <w:top w:type="dxa" w:w="50"/>
              <w:left w:type="dxa" w:w="110"/>
              <w:bottom w:type="dxa" w:w="50"/>
              <w:right w:type="dxa" w:w="110"/>
            </w:tcMar>
          </w:tcPr>
          <w:p>
            <w:pPr>
              <w:spacing w:before="28" w:after="28"/>
            </w:pPr>
            <w:r>
              <w:rPr>
                <w:sz w:val="15"/>
                <w:szCs w:val="15"/>
              </w:rPr>
              <w:t xml:space="preserve"> </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Payables</w:t>
            </w:r>
          </w:p>
        </w:tc>
        <w:tc>
          <w:tcPr>
            <w:tcW w:type="pct" w:w="723"/>
            <w:shd w:fill="FBFAF6" w:val="clear"/>
            <w:tcMar>
              <w:top w:type="dxa" w:w="50"/>
              <w:left w:type="dxa" w:w="110"/>
              <w:bottom w:type="dxa" w:w="50"/>
              <w:right w:type="dxa" w:w="110"/>
            </w:tcMar>
          </w:tcPr>
          <w:p>
            <w:pPr>
              <w:spacing w:before="28" w:after="28"/>
            </w:pPr>
            <w:r>
              <w:rPr>
                <w:sz w:val="15"/>
                <w:szCs w:val="15"/>
              </w:rPr>
              <w:t xml:space="preserve">575,000</w:t>
            </w:r>
          </w:p>
        </w:tc>
        <w:tc>
          <w:tcPr>
            <w:tcW w:type="pct" w:w="766"/>
            <w:shd w:fill="FBFAF6" w:val="clear"/>
            <w:tcMar>
              <w:top w:type="dxa" w:w="50"/>
              <w:left w:type="dxa" w:w="110"/>
              <w:bottom w:type="dxa" w:w="50"/>
              <w:right w:type="dxa" w:w="110"/>
            </w:tcMar>
          </w:tcPr>
          <w:p>
            <w:pPr>
              <w:spacing w:before="28" w:after="28"/>
            </w:pPr>
            <w:r>
              <w:rPr>
                <w:sz w:val="15"/>
                <w:szCs w:val="15"/>
              </w:rPr>
              <w:t xml:space="preserve">600,750</w:t>
            </w:r>
          </w:p>
        </w:tc>
        <w:tc>
          <w:tcPr>
            <w:tcW w:type="pct" w:w="1697"/>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1813"/>
            <w:tcMar>
              <w:top w:type="dxa" w:w="50"/>
              <w:left w:type="dxa" w:w="110"/>
              <w:bottom w:type="dxa" w:w="50"/>
              <w:right w:type="dxa" w:w="110"/>
            </w:tcMar>
          </w:tcPr>
          <w:p>
            <w:pPr>
              <w:spacing w:before="28" w:after="28"/>
            </w:pPr>
            <w:r>
              <w:rPr>
                <w:sz w:val="15"/>
                <w:szCs w:val="15"/>
              </w:rPr>
              <w:t xml:space="preserve">Accrued expenses</w:t>
            </w:r>
          </w:p>
        </w:tc>
        <w:tc>
          <w:tcPr>
            <w:tcW w:type="pct" w:w="723"/>
            <w:tcMar>
              <w:top w:type="dxa" w:w="50"/>
              <w:left w:type="dxa" w:w="110"/>
              <w:bottom w:type="dxa" w:w="50"/>
              <w:right w:type="dxa" w:w="110"/>
            </w:tcMar>
          </w:tcPr>
          <w:p>
            <w:pPr>
              <w:spacing w:before="28" w:after="28"/>
            </w:pPr>
            <w:r>
              <w:rPr>
                <w:sz w:val="15"/>
                <w:szCs w:val="15"/>
              </w:rPr>
              <w:t xml:space="preserve">240,000</w:t>
            </w:r>
          </w:p>
        </w:tc>
        <w:tc>
          <w:tcPr>
            <w:tcW w:type="pct" w:w="766"/>
            <w:tcMar>
              <w:top w:type="dxa" w:w="50"/>
              <w:left w:type="dxa" w:w="110"/>
              <w:bottom w:type="dxa" w:w="50"/>
              <w:right w:type="dxa" w:w="110"/>
            </w:tcMar>
          </w:tcPr>
          <w:p>
            <w:pPr>
              <w:spacing w:before="28" w:after="28"/>
            </w:pPr>
            <w:r>
              <w:rPr>
                <w:sz w:val="15"/>
                <w:szCs w:val="15"/>
              </w:rPr>
              <w:t xml:space="preserve">240,000</w:t>
            </w:r>
          </w:p>
        </w:tc>
        <w:tc>
          <w:tcPr>
            <w:tcW w:type="pct" w:w="1697"/>
            <w:tcMar>
              <w:top w:type="dxa" w:w="50"/>
              <w:left w:type="dxa" w:w="110"/>
              <w:bottom w:type="dxa" w:w="50"/>
              <w:right w:type="dxa" w:w="110"/>
            </w:tcMar>
          </w:tcPr>
          <w:p>
            <w:pPr>
              <w:spacing w:before="28" w:after="28"/>
            </w:pPr>
            <w:r>
              <w:rPr>
                <w:sz w:val="15"/>
                <w:szCs w:val="15"/>
              </w:rPr>
              <w:t xml:space="preserve">Unchanged</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Income tax payable</w:t>
            </w:r>
          </w:p>
        </w:tc>
        <w:tc>
          <w:tcPr>
            <w:tcW w:type="pct" w:w="723"/>
            <w:shd w:fill="FBFAF6" w:val="clear"/>
            <w:tcMar>
              <w:top w:type="dxa" w:w="50"/>
              <w:left w:type="dxa" w:w="110"/>
              <w:bottom w:type="dxa" w:w="50"/>
              <w:right w:type="dxa" w:w="110"/>
            </w:tcMar>
          </w:tcPr>
          <w:p>
            <w:pPr>
              <w:spacing w:before="28" w:after="28"/>
            </w:pPr>
            <w:r>
              <w:rPr>
                <w:sz w:val="15"/>
                <w:szCs w:val="15"/>
              </w:rPr>
              <w:t xml:space="preserve">—</w:t>
            </w:r>
          </w:p>
        </w:tc>
        <w:tc>
          <w:tcPr>
            <w:tcW w:type="pct" w:w="766"/>
            <w:shd w:fill="FBFAF6" w:val="clear"/>
            <w:tcMar>
              <w:top w:type="dxa" w:w="50"/>
              <w:left w:type="dxa" w:w="110"/>
              <w:bottom w:type="dxa" w:w="50"/>
              <w:right w:type="dxa" w:w="110"/>
            </w:tcMar>
          </w:tcPr>
          <w:p>
            <w:pPr>
              <w:spacing w:before="28" w:after="28"/>
            </w:pPr>
            <w:r>
              <w:rPr>
                <w:sz w:val="15"/>
                <w:szCs w:val="15"/>
              </w:rPr>
              <w:t xml:space="preserve">626,400</w:t>
            </w:r>
          </w:p>
        </w:tc>
        <w:tc>
          <w:tcPr>
            <w:tcW w:type="pct" w:w="1697"/>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813"/>
            <w:tcMar>
              <w:top w:type="dxa" w:w="50"/>
              <w:left w:type="dxa" w:w="110"/>
              <w:bottom w:type="dxa" w:w="50"/>
              <w:right w:type="dxa" w:w="110"/>
            </w:tcMar>
          </w:tcPr>
          <w:p>
            <w:pPr>
              <w:spacing w:before="28" w:after="28"/>
            </w:pPr>
            <w:r>
              <w:rPr>
                <w:sz w:val="15"/>
                <w:szCs w:val="15"/>
              </w:rPr>
              <w:t xml:space="preserve">Dividends payable</w:t>
            </w:r>
          </w:p>
        </w:tc>
        <w:tc>
          <w:tcPr>
            <w:tcW w:type="pct" w:w="723"/>
            <w:tcMar>
              <w:top w:type="dxa" w:w="50"/>
              <w:left w:type="dxa" w:w="110"/>
              <w:bottom w:type="dxa" w:w="50"/>
              <w:right w:type="dxa" w:w="110"/>
            </w:tcMar>
          </w:tcPr>
          <w:p>
            <w:pPr>
              <w:spacing w:before="28" w:after="28"/>
            </w:pPr>
            <w:r>
              <w:rPr>
                <w:sz w:val="15"/>
                <w:szCs w:val="15"/>
              </w:rPr>
              <w:t xml:space="preserve">—</w:t>
            </w:r>
          </w:p>
        </w:tc>
        <w:tc>
          <w:tcPr>
            <w:tcW w:type="pct" w:w="766"/>
            <w:tcMar>
              <w:top w:type="dxa" w:w="50"/>
              <w:left w:type="dxa" w:w="110"/>
              <w:bottom w:type="dxa" w:w="50"/>
              <w:right w:type="dxa" w:w="110"/>
            </w:tcMar>
          </w:tcPr>
          <w:p>
            <w:pPr>
              <w:spacing w:before="28" w:after="28"/>
            </w:pPr>
            <w:r>
              <w:rPr>
                <w:sz w:val="15"/>
                <w:szCs w:val="15"/>
              </w:rPr>
              <w:t xml:space="preserve">1,002,240</w:t>
            </w:r>
          </w:p>
        </w:tc>
        <w:tc>
          <w:tcPr>
            <w:tcW w:type="pct" w:w="1697"/>
            <w:tcMar>
              <w:top w:type="dxa" w:w="50"/>
              <w:left w:type="dxa" w:w="110"/>
              <w:bottom w:type="dxa" w:w="50"/>
              <w:right w:type="dxa" w:w="110"/>
            </w:tcMar>
          </w:tcPr>
          <w:p>
            <w:pPr>
              <w:spacing w:before="28" w:after="28"/>
            </w:pPr>
            <w:r>
              <w:rPr>
                <w:sz w:val="15"/>
                <w:szCs w:val="15"/>
              </w:rPr>
              <w:t xml:space="preserve">Dividend policy</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Bank loan</w:t>
            </w:r>
          </w:p>
        </w:tc>
        <w:tc>
          <w:tcPr>
            <w:tcW w:type="pct" w:w="723"/>
            <w:shd w:fill="FBFAF6" w:val="clear"/>
            <w:tcMar>
              <w:top w:type="dxa" w:w="50"/>
              <w:left w:type="dxa" w:w="110"/>
              <w:bottom w:type="dxa" w:w="50"/>
              <w:right w:type="dxa" w:w="110"/>
            </w:tcMar>
          </w:tcPr>
          <w:p>
            <w:pPr>
              <w:spacing w:before="28" w:after="28"/>
            </w:pPr>
            <w:r>
              <w:rPr>
                <w:sz w:val="15"/>
                <w:szCs w:val="15"/>
              </w:rPr>
              <w:t xml:space="preserve">—</w:t>
            </w:r>
          </w:p>
        </w:tc>
        <w:tc>
          <w:tcPr>
            <w:tcW w:type="pct" w:w="766"/>
            <w:shd w:fill="FBFAF6" w:val="clear"/>
            <w:tcMar>
              <w:top w:type="dxa" w:w="50"/>
              <w:left w:type="dxa" w:w="110"/>
              <w:bottom w:type="dxa" w:w="50"/>
              <w:right w:type="dxa" w:w="110"/>
            </w:tcMar>
          </w:tcPr>
          <w:p>
            <w:pPr>
              <w:spacing w:before="28" w:after="28"/>
            </w:pPr>
            <w:r>
              <w:rPr>
                <w:sz w:val="15"/>
                <w:szCs w:val="15"/>
              </w:rPr>
              <w:t xml:space="preserve">—</w:t>
            </w:r>
          </w:p>
        </w:tc>
        <w:tc>
          <w:tcPr>
            <w:tcW w:type="pct" w:w="1697"/>
            <w:shd w:fill="FBFAF6" w:val="clear"/>
            <w:tcMar>
              <w:top w:type="dxa" w:w="50"/>
              <w:left w:type="dxa" w:w="110"/>
              <w:bottom w:type="dxa" w:w="50"/>
              <w:right w:type="dxa" w:w="110"/>
            </w:tcMar>
          </w:tcPr>
          <w:p>
            <w:pPr>
              <w:spacing w:before="28" w:after="28"/>
            </w:pPr>
            <w:r>
              <w:rPr>
                <w:sz w:val="15"/>
                <w:szCs w:val="15"/>
              </w:rPr>
              <w:t xml:space="preserve">Cash budget</w:t>
            </w:r>
          </w:p>
        </w:tc>
      </w:tr>
      <w:tr>
        <w:tc>
          <w:tcPr>
            <w:tcW w:type="pct" w:w="1813"/>
            <w:tcMar>
              <w:top w:type="dxa" w:w="50"/>
              <w:left w:type="dxa" w:w="110"/>
              <w:bottom w:type="dxa" w:w="50"/>
              <w:right w:type="dxa" w:w="110"/>
            </w:tcMar>
          </w:tcPr>
          <w:p>
            <w:pPr>
              <w:spacing w:before="28" w:after="28"/>
            </w:pPr>
            <w:r>
              <w:rPr>
                <w:sz w:val="15"/>
                <w:szCs w:val="15"/>
              </w:rPr>
              <w:t xml:space="preserve">Share capital</w:t>
            </w:r>
          </w:p>
        </w:tc>
        <w:tc>
          <w:tcPr>
            <w:tcW w:type="pct" w:w="723"/>
            <w:tcMar>
              <w:top w:type="dxa" w:w="50"/>
              <w:left w:type="dxa" w:w="110"/>
              <w:bottom w:type="dxa" w:w="50"/>
              <w:right w:type="dxa" w:w="110"/>
            </w:tcMar>
          </w:tcPr>
          <w:p>
            <w:pPr>
              <w:spacing w:before="28" w:after="28"/>
            </w:pPr>
            <w:r>
              <w:rPr>
                <w:sz w:val="15"/>
                <w:szCs w:val="15"/>
              </w:rPr>
              <w:t xml:space="preserve">6,000,000</w:t>
            </w:r>
          </w:p>
        </w:tc>
        <w:tc>
          <w:tcPr>
            <w:tcW w:type="pct" w:w="766"/>
            <w:tcMar>
              <w:top w:type="dxa" w:w="50"/>
              <w:left w:type="dxa" w:w="110"/>
              <w:bottom w:type="dxa" w:w="50"/>
              <w:right w:type="dxa" w:w="110"/>
            </w:tcMar>
          </w:tcPr>
          <w:p>
            <w:pPr>
              <w:spacing w:before="28" w:after="28"/>
            </w:pPr>
            <w:r>
              <w:rPr>
                <w:sz w:val="15"/>
                <w:szCs w:val="15"/>
              </w:rPr>
              <w:t xml:space="preserve">6,000,000</w:t>
            </w:r>
          </w:p>
        </w:tc>
        <w:tc>
          <w:tcPr>
            <w:tcW w:type="pct" w:w="1697"/>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813"/>
            <w:shd w:fill="FBFAF6" w:val="clear"/>
            <w:tcMar>
              <w:top w:type="dxa" w:w="50"/>
              <w:left w:type="dxa" w:w="110"/>
              <w:bottom w:type="dxa" w:w="50"/>
              <w:right w:type="dxa" w:w="110"/>
            </w:tcMar>
          </w:tcPr>
          <w:p>
            <w:pPr>
              <w:spacing w:before="28" w:after="28"/>
            </w:pPr>
            <w:r>
              <w:rPr>
                <w:sz w:val="15"/>
                <w:szCs w:val="15"/>
              </w:rPr>
              <w:t xml:space="preserve">Retained earnings</w:t>
            </w:r>
          </w:p>
        </w:tc>
        <w:tc>
          <w:tcPr>
            <w:tcW w:type="pct" w:w="723"/>
            <w:shd w:fill="FBFAF6" w:val="clear"/>
            <w:tcMar>
              <w:top w:type="dxa" w:w="50"/>
              <w:left w:type="dxa" w:w="110"/>
              <w:bottom w:type="dxa" w:w="50"/>
              <w:right w:type="dxa" w:w="110"/>
            </w:tcMar>
          </w:tcPr>
          <w:p>
            <w:pPr>
              <w:spacing w:before="28" w:after="28"/>
            </w:pPr>
            <w:r>
              <w:rPr>
                <w:sz w:val="15"/>
                <w:szCs w:val="15"/>
              </w:rPr>
              <w:t xml:space="preserve">2,389,220</w:t>
            </w:r>
          </w:p>
        </w:tc>
        <w:tc>
          <w:tcPr>
            <w:tcW w:type="pct" w:w="766"/>
            <w:shd w:fill="FBFAF6" w:val="clear"/>
            <w:tcMar>
              <w:top w:type="dxa" w:w="50"/>
              <w:left w:type="dxa" w:w="110"/>
              <w:bottom w:type="dxa" w:w="50"/>
              <w:right w:type="dxa" w:w="110"/>
            </w:tcMar>
          </w:tcPr>
          <w:p>
            <w:pPr>
              <w:spacing w:before="28" w:after="28"/>
            </w:pPr>
            <w:r>
              <w:rPr>
                <w:sz w:val="15"/>
                <w:szCs w:val="15"/>
              </w:rPr>
              <w:t xml:space="preserve">3,892,580</w:t>
            </w:r>
          </w:p>
        </w:tc>
        <w:tc>
          <w:tcPr>
            <w:tcW w:type="pct" w:w="1697"/>
            <w:shd w:fill="FBFAF6" w:val="clear"/>
            <w:tcMar>
              <w:top w:type="dxa" w:w="50"/>
              <w:left w:type="dxa" w:w="110"/>
              <w:bottom w:type="dxa" w:w="50"/>
              <w:right w:type="dxa" w:w="110"/>
            </w:tcMar>
          </w:tcPr>
          <w:p>
            <w:pPr>
              <w:spacing w:before="28" w:after="28"/>
            </w:pPr>
            <w:r>
              <w:rPr>
                <w:sz w:val="15"/>
                <w:szCs w:val="15"/>
              </w:rPr>
              <w:t xml:space="preserve">Opening + net income − dividends</w:t>
            </w:r>
          </w:p>
        </w:tc>
      </w:tr>
      <w:tr>
        <w:tc>
          <w:tcPr>
            <w:tcW w:type="pct" w:w="1813"/>
            <w:tcMar>
              <w:top w:type="dxa" w:w="50"/>
              <w:left w:type="dxa" w:w="110"/>
              <w:bottom w:type="dxa" w:w="50"/>
              <w:right w:type="dxa" w:w="110"/>
            </w:tcMar>
          </w:tcPr>
          <w:p>
            <w:pPr>
              <w:spacing w:before="28" w:after="28"/>
            </w:pPr>
            <w:r>
              <w:rPr>
                <w:sz w:val="15"/>
                <w:szCs w:val="15"/>
              </w:rPr>
              <w:t xml:space="preserve">Total liabilities and equity</w:t>
            </w:r>
          </w:p>
        </w:tc>
        <w:tc>
          <w:tcPr>
            <w:tcW w:type="pct" w:w="723"/>
            <w:tcMar>
              <w:top w:type="dxa" w:w="50"/>
              <w:left w:type="dxa" w:w="110"/>
              <w:bottom w:type="dxa" w:w="50"/>
              <w:right w:type="dxa" w:w="110"/>
            </w:tcMar>
          </w:tcPr>
          <w:p>
            <w:pPr>
              <w:spacing w:before="28" w:after="28"/>
            </w:pPr>
            <w:r>
              <w:rPr>
                <w:sz w:val="15"/>
                <w:szCs w:val="15"/>
              </w:rPr>
              <w:t xml:space="preserve">9,204,220</w:t>
            </w:r>
          </w:p>
        </w:tc>
        <w:tc>
          <w:tcPr>
            <w:tcW w:type="pct" w:w="766"/>
            <w:tcMar>
              <w:top w:type="dxa" w:w="50"/>
              <w:left w:type="dxa" w:w="110"/>
              <w:bottom w:type="dxa" w:w="50"/>
              <w:right w:type="dxa" w:w="110"/>
            </w:tcMar>
          </w:tcPr>
          <w:p>
            <w:pPr>
              <w:spacing w:before="28" w:after="28"/>
            </w:pPr>
            <w:r>
              <w:rPr>
                <w:sz w:val="15"/>
                <w:szCs w:val="15"/>
              </w:rPr>
              <w:t xml:space="preserve">12,361,970</w:t>
            </w:r>
          </w:p>
        </w:tc>
        <w:tc>
          <w:tcPr>
            <w:tcW w:type="pct" w:w="1697"/>
            <w:tcMar>
              <w:top w:type="dxa" w:w="50"/>
              <w:left w:type="dxa" w:w="110"/>
              <w:bottom w:type="dxa" w:w="50"/>
              <w:right w:type="dxa" w:w="110"/>
            </w:tcMar>
          </w:tcPr>
          <w:p>
            <w:pPr>
              <w:spacing w:before="28" w:after="28"/>
            </w:pPr>
            <w:r>
              <w:rPr>
                <w:sz w:val="15"/>
                <w:szCs w:val="15"/>
              </w:rPr>
              <w:t xml:space="preserve"> </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Production budget at standard   ·   Pro forma income statement   ·   Overhead and S&amp;A budgets   ·   Payments schedule   ·   + Depreciation   ·   Unchanged</w:t>
            </w:r>
          </w:p>
        </w:tc>
      </w:tr>
    </w:tbl>
    <w:p/>
    <w:p>
      <w:pPr>
        <w:spacing w:before="44" w:after="14"/>
      </w:pPr>
      <w:r>
        <w:rPr>
          <w:b/>
          <w:bCs/>
          <w:color w:val="353A7C"/>
          <w:sz w:val="18"/>
          <w:szCs w:val="18"/>
        </w:rPr>
        <w:t xml:space="preserve">Summary 1</w:t>
      </w:r>
      <w:r>
        <w:rPr>
          <w:color w:val="6B7280"/>
          <w:sz w:val="16"/>
          <w:szCs w:val="16"/>
        </w:rPr>
        <w:t xml:space="preserve">      gaps 6–8</w:t>
      </w:r>
    </w:p>
    <w:p>
      <w:pPr>
        <w:spacing w:before="20" w:after="20" w:line="360" w:lineRule="auto"/>
        <w:ind w:left="200"/>
      </w:pPr>
      <w:r>
        <w:rPr>
          <w:sz w:val="19"/>
          <w:szCs w:val="19"/>
        </w:rPr>
        <w:t xml:space="preserve">Two new liabilities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income tax of $626,400 and the dividend of $1,002,240, both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for 2028 but paid early in the next year. </w:t>
      </w:r>
      <w:r>
        <w:rPr>
          <w:sz w:val="19"/>
          <w:szCs w:val="19"/>
        </w:rPr>
        <w:t xml:space="preserve">Total assets of $12,361,970 equal liabilities and equity, as they must. </w:t>
      </w:r>
      <w:r>
        <w:rPr>
          <w:sz w:val="19"/>
          <w:szCs w:val="19"/>
        </w:rPr>
        <w:t xml:space="preserve">The pro forma statement of cash flows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change in cash.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explains   ·   appear   ·   schedule   ·   declared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Worked example: the pro forma statement of cash flows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Pro forma statement of cash flows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Net income</w:t>
            </w:r>
          </w:p>
        </w:tc>
        <w:tc>
          <w:tcPr>
            <w:tcW w:type="pct" w:w="2400"/>
            <w:tcMar>
              <w:top w:type="dxa" w:w="50"/>
              <w:left w:type="dxa" w:w="110"/>
              <w:bottom w:type="dxa" w:w="50"/>
              <w:right w:type="dxa" w:w="110"/>
            </w:tcMar>
          </w:tcPr>
          <w:p>
            <w:pPr>
              <w:spacing w:before="28" w:after="28"/>
            </w:pPr>
            <w:r>
              <w:rPr>
                <w:sz w:val="15"/>
                <w:szCs w:val="15"/>
              </w:rPr>
              <w:t xml:space="preserve">2,505,600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Depreciation</w:t>
            </w:r>
          </w:p>
        </w:tc>
        <w:tc>
          <w:tcPr>
            <w:tcW w:type="pct" w:w="2400"/>
            <w:shd w:fill="FBFAF6" w:val="clear"/>
            <w:tcMar>
              <w:top w:type="dxa" w:w="50"/>
              <w:left w:type="dxa" w:w="110"/>
              <w:bottom w:type="dxa" w:w="50"/>
              <w:right w:type="dxa" w:w="110"/>
            </w:tcMar>
          </w:tcPr>
          <w:p>
            <w:pPr>
              <w:spacing w:before="28" w:after="28"/>
            </w:pPr>
            <w:r>
              <w:rPr>
                <w:sz w:val="15"/>
                <w:szCs w:val="15"/>
              </w:rPr>
              <w:t xml:space="preserve">800,000</w:t>
            </w:r>
          </w:p>
        </w:tc>
      </w:tr>
      <w:tr>
        <w:tc>
          <w:tcPr>
            <w:tcW w:type="pct" w:w="2600"/>
            <w:tcMar>
              <w:top w:type="dxa" w:w="50"/>
              <w:left w:type="dxa" w:w="110"/>
              <w:bottom w:type="dxa" w:w="50"/>
              <w:right w:type="dxa" w:w="110"/>
            </w:tcMar>
          </w:tcPr>
          <w:p>
            <w:pPr>
              <w:spacing w:before="28" w:after="28"/>
            </w:pPr>
            <w:r>
              <w:rPr>
                <w:sz w:val="15"/>
                <w:szCs w:val="15"/>
              </w:rPr>
              <w:t xml:space="preserve">− Increase in receivables</w:t>
            </w:r>
          </w:p>
        </w:tc>
        <w:tc>
          <w:tcPr>
            <w:tcW w:type="pct" w:w="2400"/>
            <w:tcMar>
              <w:top w:type="dxa" w:w="50"/>
              <w:left w:type="dxa" w:w="110"/>
              <w:bottom w:type="dxa" w:w="50"/>
              <w:right w:type="dxa" w:w="110"/>
            </w:tcMar>
          </w:tcPr>
          <w:p>
            <w:pPr>
              <w:spacing w:before="28" w:after="28"/>
            </w:pPr>
            <w:r>
              <w:rPr>
                <w:sz w:val="15"/>
                <w:szCs w:val="15"/>
              </w:rPr>
              <w:t xml:space="preserve">(240,000)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 Increase in inventories</w:t>
            </w:r>
          </w:p>
        </w:tc>
        <w:tc>
          <w:tcPr>
            <w:tcW w:type="pct" w:w="2400"/>
            <w:shd w:fill="FBFAF6" w:val="clear"/>
            <w:tcMar>
              <w:top w:type="dxa" w:w="50"/>
              <w:left w:type="dxa" w:w="110"/>
              <w:bottom w:type="dxa" w:w="50"/>
              <w:right w:type="dxa" w:w="110"/>
            </w:tcMar>
          </w:tcPr>
          <w:p>
            <w:pPr>
              <w:spacing w:before="28" w:after="28"/>
            </w:pPr>
            <w:r>
              <w:rPr>
                <w:sz w:val="15"/>
                <w:szCs w:val="15"/>
              </w:rPr>
              <w:t xml:space="preserve">(15,300)</w:t>
            </w:r>
          </w:p>
        </w:tc>
      </w:tr>
      <w:tr>
        <w:tc>
          <w:tcPr>
            <w:tcW w:type="pct" w:w="2600"/>
            <w:tcMar>
              <w:top w:type="dxa" w:w="50"/>
              <w:left w:type="dxa" w:w="110"/>
              <w:bottom w:type="dxa" w:w="50"/>
              <w:right w:type="dxa" w:w="110"/>
            </w:tcMar>
          </w:tcPr>
          <w:p>
            <w:pPr>
              <w:spacing w:before="28" w:after="28"/>
            </w:pPr>
            <w:r>
              <w:rPr>
                <w:sz w:val="15"/>
                <w:szCs w:val="15"/>
              </w:rPr>
              <w:t xml:space="preserve">+ Increase in payables</w:t>
            </w:r>
          </w:p>
        </w:tc>
        <w:tc>
          <w:tcPr>
            <w:tcW w:type="pct" w:w="2400"/>
            <w:tcMar>
              <w:top w:type="dxa" w:w="50"/>
              <w:left w:type="dxa" w:w="110"/>
              <w:bottom w:type="dxa" w:w="50"/>
              <w:right w:type="dxa" w:w="110"/>
            </w:tcMar>
          </w:tcPr>
          <w:p>
            <w:pPr>
              <w:spacing w:before="28" w:after="28"/>
            </w:pPr>
            <w:r>
              <w:rPr>
                <w:sz w:val="15"/>
                <w:szCs w:val="15"/>
              </w:rPr>
              <w:t xml:space="preserve">25,750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400"/>
            <w:shd w:fill="FBFAF6" w:val="clear"/>
            <w:tcMar>
              <w:top w:type="dxa" w:w="50"/>
              <w:left w:type="dxa" w:w="110"/>
              <w:bottom w:type="dxa" w:w="50"/>
              <w:right w:type="dxa" w:w="110"/>
            </w:tcMar>
          </w:tcPr>
          <w:p>
            <w:pPr>
              <w:spacing w:before="28" w:after="28"/>
            </w:pPr>
            <w:r>
              <w:rPr>
                <w:sz w:val="15"/>
                <w:szCs w:val="15"/>
              </w:rPr>
              <w:t xml:space="preserve">626,400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tcMar>
              <w:top w:type="dxa" w:w="50"/>
              <w:left w:type="dxa" w:w="110"/>
              <w:bottom w:type="dxa" w:w="50"/>
              <w:right w:type="dxa" w:w="110"/>
            </w:tcMar>
          </w:tcPr>
          <w:p>
            <w:pPr>
              <w:spacing w:before="28" w:after="28"/>
            </w:pPr>
            <w:r>
              <w:rPr>
                <w:sz w:val="15"/>
                <w:szCs w:val="15"/>
              </w:rPr>
              <w:t xml:space="preserve">3,702,450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Purchase of the filling line</w:t>
            </w:r>
          </w:p>
        </w:tc>
        <w:tc>
          <w:tcPr>
            <w:tcW w:type="pct" w:w="2400"/>
            <w:shd w:fill="FBFAF6" w:val="clear"/>
            <w:tcMar>
              <w:top w:type="dxa" w:w="50"/>
              <w:left w:type="dxa" w:w="110"/>
              <w:bottom w:type="dxa" w:w="50"/>
              <w:right w:type="dxa" w:w="110"/>
            </w:tcMar>
          </w:tcPr>
          <w:p>
            <w:pPr>
              <w:spacing w:before="28" w:after="28"/>
            </w:pPr>
            <w:r>
              <w:rPr>
                <w:sz w:val="15"/>
                <w:szCs w:val="15"/>
              </w:rPr>
              <w:t xml:space="preserve">(2,500,000)</w:t>
            </w:r>
          </w:p>
        </w:tc>
      </w:tr>
      <w:tr>
        <w:tc>
          <w:tcPr>
            <w:tcW w:type="pct" w:w="2600"/>
            <w:tcMar>
              <w:top w:type="dxa" w:w="50"/>
              <w:left w:type="dxa" w:w="110"/>
              <w:bottom w:type="dxa" w:w="50"/>
              <w:right w:type="dxa" w:w="110"/>
            </w:tcMar>
          </w:tcPr>
          <w:p>
            <w:pPr>
              <w:spacing w:before="28" w:after="28"/>
            </w:pPr>
            <w:r>
              <w:rPr>
                <w:sz w:val="15"/>
                <w:szCs w:val="15"/>
              </w:rPr>
              <w:t xml:space="preserve">= Cash used in investing activities</w:t>
            </w:r>
          </w:p>
        </w:tc>
        <w:tc>
          <w:tcPr>
            <w:tcW w:type="pct" w:w="2400"/>
            <w:tcMar>
              <w:top w:type="dxa" w:w="50"/>
              <w:left w:type="dxa" w:w="110"/>
              <w:bottom w:type="dxa" w:w="50"/>
              <w:right w:type="dxa" w:w="110"/>
            </w:tcMar>
          </w:tcPr>
          <w:p>
            <w:pPr>
              <w:spacing w:before="28" w:after="28"/>
            </w:pPr>
            <w:r>
              <w:rPr>
                <w:sz w:val="15"/>
                <w:szCs w:val="15"/>
              </w:rPr>
              <w:t xml:space="preserve">(2,500,000)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Borrowing</w:t>
            </w:r>
          </w:p>
        </w:tc>
        <w:tc>
          <w:tcPr>
            <w:tcW w:type="pct" w:w="2400"/>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tcMar>
              <w:top w:type="dxa" w:w="50"/>
              <w:left w:type="dxa" w:w="110"/>
              <w:bottom w:type="dxa" w:w="50"/>
              <w:right w:type="dxa" w:w="110"/>
            </w:tcMar>
          </w:tcPr>
          <w:p>
            <w:pPr>
              <w:spacing w:before="28" w:after="28"/>
            </w:pPr>
            <w:r>
              <w:rPr>
                <w:sz w:val="15"/>
                <w:szCs w:val="15"/>
              </w:rPr>
              <w:t xml:space="preserve">(1,000,000)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shd w:fill="FBFAF6" w:val="clear"/>
            <w:tcMar>
              <w:top w:type="dxa" w:w="50"/>
              <w:left w:type="dxa" w:w="110"/>
              <w:bottom w:type="dxa" w:w="50"/>
              <w:right w:type="dxa" w:w="110"/>
            </w:tcMar>
          </w:tcPr>
          <w:p>
            <w:pPr>
              <w:spacing w:before="28" w:after="28"/>
            </w:pPr>
            <w:r>
              <w:rPr>
                <w:sz w:val="15"/>
                <w:szCs w:val="15"/>
              </w:rPr>
              <w:t xml:space="preserve">—</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tcMar>
              <w:top w:type="dxa" w:w="50"/>
              <w:left w:type="dxa" w:w="110"/>
              <w:bottom w:type="dxa" w:w="50"/>
              <w:right w:type="dxa" w:w="110"/>
            </w:tcMar>
          </w:tcPr>
          <w:p>
            <w:pPr>
              <w:spacing w:before="28" w:after="28"/>
            </w:pPr>
            <w:r>
              <w:rPr>
                <w:sz w:val="15"/>
                <w:szCs w:val="15"/>
              </w:rPr>
              <w:t xml:space="preserve">1,202,450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shd w:fill="FBFAF6" w:val="clear"/>
            <w:tcMar>
              <w:top w:type="dxa" w:w="50"/>
              <w:left w:type="dxa" w:w="110"/>
              <w:bottom w:type="dxa" w:w="50"/>
              <w:right w:type="dxa" w:w="110"/>
            </w:tcMar>
          </w:tcPr>
          <w:p>
            <w:pPr>
              <w:spacing w:before="28" w:after="28"/>
            </w:pPr>
            <w:r>
              <w:rPr>
                <w:sz w:val="15"/>
                <w:szCs w:val="15"/>
              </w:rPr>
              <w:t xml:space="preserve">500,000</w:t>
            </w:r>
          </w:p>
        </w:tc>
      </w:tr>
      <w:tr>
        <w:tc>
          <w:tcPr>
            <w:tcW w:type="pct" w:w="2600"/>
            <w:tcMar>
              <w:top w:type="dxa" w:w="50"/>
              <w:left w:type="dxa" w:w="110"/>
              <w:bottom w:type="dxa" w:w="50"/>
              <w:right w:type="dxa" w:w="110"/>
            </w:tcMar>
          </w:tcPr>
          <w:p>
            <w:pPr>
              <w:spacing w:before="28" w:after="28"/>
            </w:pPr>
            <w:r>
              <w:rPr>
                <w:sz w:val="15"/>
                <w:szCs w:val="15"/>
              </w:rPr>
              <w:t xml:space="preserve">Cash at 31 December</w:t>
            </w:r>
          </w:p>
        </w:tc>
        <w:tc>
          <w:tcPr>
            <w:tcW w:type="pct" w:w="2400"/>
            <w:tcMar>
              <w:top w:type="dxa" w:w="50"/>
              <w:left w:type="dxa" w:w="110"/>
              <w:bottom w:type="dxa" w:w="50"/>
              <w:right w:type="dxa" w:w="110"/>
            </w:tcMar>
          </w:tcPr>
          <w:p>
            <w:pPr>
              <w:spacing w:before="28" w:after="28"/>
            </w:pPr>
            <w:r>
              <w:rPr>
                <w:sz w:val="15"/>
                <w:szCs w:val="15"/>
              </w:rPr>
              <w:t xml:space="preserve">1,702,450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 Increase in tax payable   ·   Cash at 1 January   ·   Repayment   ·   Net change in cash   ·   = Cash from operating activities   ·   = Cash from financing activities   ·   Total liabilities and equity</w:t>
            </w:r>
          </w:p>
        </w:tc>
      </w:tr>
    </w:tbl>
    <w:p/>
    <w:p>
      <w:pPr>
        <w:spacing w:before="44" w:after="14"/>
      </w:pPr>
      <w:r>
        <w:rPr>
          <w:b/>
          <w:bCs/>
          <w:color w:val="353A7C"/>
          <w:sz w:val="18"/>
          <w:szCs w:val="18"/>
        </w:rPr>
        <w:t xml:space="preserve">Summary 2</w:t>
      </w:r>
      <w:r>
        <w:rPr>
          <w:color w:val="6B7280"/>
          <w:sz w:val="16"/>
          <w:szCs w:val="16"/>
        </w:rPr>
        <w:t xml:space="preserve">      gaps 15–16</w:t>
      </w:r>
    </w:p>
    <w:p>
      <w:pPr>
        <w:spacing w:before="20" w:after="20" w:line="360" w:lineRule="auto"/>
        <w:ind w:left="200"/>
      </w:pPr>
      <w:r>
        <w:rPr>
          <w:sz w:val="19"/>
          <w:szCs w:val="19"/>
        </w:rPr>
        <w:t xml:space="preserve">It ends at $1,702,450,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cash of the cash budget. </w:t>
      </w:r>
      <w:r>
        <w:rPr>
          <w:sz w:val="19"/>
          <w:szCs w:val="19"/>
        </w:rPr>
        <w:t xml:space="preserve">If the two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there would be an error in one of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disagreed   ·   ending   ·   dividend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Depreciation and asset purchases</w:t>
            </w:r>
          </w:p>
        </w:tc>
      </w:tr>
    </w:tbl>
    <w:p/>
    <w:p>
      <w:pPr>
        <w:spacing w:before="44" w:after="14"/>
      </w:pPr>
      <w:r>
        <w:rPr>
          <w:b/>
          <w:bCs/>
          <w:color w:val="353A7C"/>
          <w:sz w:val="18"/>
          <w:szCs w:val="18"/>
        </w:rPr>
        <w:t xml:space="preserve">Summary 3</w:t>
      </w:r>
      <w:r>
        <w:rPr>
          <w:color w:val="6B7280"/>
          <w:sz w:val="16"/>
          <w:szCs w:val="16"/>
        </w:rPr>
        <w:t xml:space="preserve">      gaps 17–18</w:t>
      </w:r>
    </w:p>
    <w:p>
      <w:pPr>
        <w:spacing w:before="20" w:after="20" w:line="360" w:lineRule="auto"/>
        <w:ind w:left="200"/>
      </w:pPr>
      <w:r>
        <w:rPr>
          <w:sz w:val="19"/>
          <w:szCs w:val="19"/>
        </w:rPr>
        <w:t xml:space="preserve">Depreciation is added back in the operating section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it reduced profit without using cash. </w:t>
      </w:r>
      <w:r>
        <w:rPr>
          <w:sz w:val="19"/>
          <w:szCs w:val="19"/>
        </w:rPr>
        <w:t xml:space="preserve">The purchase of the filling line is an investing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not an operating 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   because   ·   outflow</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 forma balance sheet   ·   dividend policy   ·   سياسة توزيع الأرباح</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10.4  The pro forma balance sheet and statement of cash flows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Production budget at standard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Repayment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Overhead and S&amp;A budgets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 Cash from financing activities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Payments schedule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Net change in cash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Pro forma income statement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Cash at 1 January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Unchanged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appear</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disagreed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declared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explains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outflow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 Increase in tax payable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 forma 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 Cash from operating activities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dividend policy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Two new liabilities appear: the income tax of $626,400 and the dividend of $1,002,240, both declared for 2028 but paid early in the next year. Total assets of $12,361,970 equal liabilities and equity, as they must. The pro forma statement of cash flows explains the change in cash.</w:t>
      </w:r>
    </w:p>
    <w:p>
      <w:pPr>
        <w:spacing w:before="20" w:after="20"/>
        <w:ind w:left="240" w:hanging="240"/>
      </w:pPr>
      <w:r>
        <w:rPr>
          <w:b/>
          <w:bCs/>
          <w:color w:val="353A7C"/>
          <w:sz w:val="15"/>
          <w:szCs w:val="15"/>
        </w:rPr>
        <w:t xml:space="preserve">Summary 2   </w:t>
      </w:r>
      <w:r>
        <w:rPr>
          <w:color w:val="6B7280"/>
          <w:sz w:val="15"/>
          <w:szCs w:val="15"/>
        </w:rPr>
        <w:t xml:space="preserve">It ends at $1,702,450, the ending cash of the cash budget. If the two disagreed, there would be an error in one of them.</w:t>
      </w:r>
    </w:p>
    <w:p>
      <w:pPr>
        <w:spacing w:before="20" w:after="20"/>
        <w:ind w:left="240" w:hanging="240"/>
      </w:pPr>
      <w:r>
        <w:rPr>
          <w:b/>
          <w:bCs/>
          <w:color w:val="353A7C"/>
          <w:sz w:val="15"/>
          <w:szCs w:val="15"/>
        </w:rPr>
        <w:t xml:space="preserve">Summary 3   </w:t>
      </w:r>
      <w:r>
        <w:rPr>
          <w:color w:val="6B7280"/>
          <w:sz w:val="15"/>
          <w:szCs w:val="15"/>
        </w:rPr>
        <w:t xml:space="preserve">Depreciation is added back in the operating section because it reduced profit without using cash. The purchase of the filling line is an investing outflow, not an operating one.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10.5  Outside financing and dividend policy</w:t>
            </w:r>
          </w:p>
          <w:p>
            <w:pPr>
              <w:spacing w:before="0" w:after="46"/>
            </w:pPr>
            <w:r>
              <w:rPr>
                <w:color w:val="E8EAF6"/>
                <w:sz w:val="16"/>
                <w:szCs w:val="16"/>
              </w:rPr>
              <w:t xml:space="preserve">Chapter 10 · section 10.5</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Required outside financing is what the plan cannot fund from its own cash.</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outside financing the plan requires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Financing need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400"/>
            <w:tcMar>
              <w:top w:type="dxa" w:w="50"/>
              <w:left w:type="dxa" w:w="110"/>
              <w:bottom w:type="dxa" w:w="50"/>
              <w:right w:type="dxa" w:w="110"/>
            </w:tcMar>
          </w:tcPr>
          <w:p>
            <w:pPr>
              <w:spacing w:before="28" w:after="28"/>
            </w:pPr>
            <w:r>
              <w:rPr>
                <w:sz w:val="15"/>
                <w:szCs w:val="15"/>
              </w:rPr>
              <w:t xml:space="preserve">3,702,450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Cash needed for investment</w:t>
            </w:r>
          </w:p>
        </w:tc>
        <w:tc>
          <w:tcPr>
            <w:tcW w:type="pct" w:w="2400"/>
            <w:shd w:fill="FBFAF6" w:val="clear"/>
            <w:tcMar>
              <w:top w:type="dxa" w:w="50"/>
              <w:left w:type="dxa" w:w="110"/>
              <w:bottom w:type="dxa" w:w="50"/>
              <w:right w:type="dxa" w:w="110"/>
            </w:tcMar>
          </w:tcPr>
          <w:p>
            <w:pPr>
              <w:spacing w:before="28" w:after="28"/>
            </w:pPr>
            <w:r>
              <w:rPr>
                <w:sz w:val="15"/>
                <w:szCs w:val="15"/>
              </w:rPr>
              <w:t xml:space="preserve">(2,500,000)</w:t>
            </w:r>
          </w:p>
        </w:tc>
      </w:tr>
      <w:tr>
        <w:tc>
          <w:tcPr>
            <w:tcW w:type="pct" w:w="2600"/>
            <w:tcMar>
              <w:top w:type="dxa" w:w="50"/>
              <w:left w:type="dxa" w:w="110"/>
              <w:bottom w:type="dxa" w:w="50"/>
              <w:right w:type="dxa" w:w="110"/>
            </w:tcMar>
          </w:tcPr>
          <w:p>
            <w:pPr>
              <w:spacing w:before="28" w:after="28"/>
            </w:pPr>
            <w:r>
              <w:rPr>
                <w:sz w:val="15"/>
                <w:szCs w:val="15"/>
              </w:rPr>
              <w:t xml:space="preserve">Dividends to be paid (next year)</w:t>
            </w:r>
          </w:p>
        </w:tc>
        <w:tc>
          <w:tcPr>
            <w:tcW w:type="pct" w:w="2400"/>
            <w:tcMar>
              <w:top w:type="dxa" w:w="50"/>
              <w:left w:type="dxa" w:w="110"/>
              <w:bottom w:type="dxa" w:w="50"/>
              <w:right w:type="dxa" w:w="110"/>
            </w:tcMar>
          </w:tcPr>
          <w:p>
            <w:pPr>
              <w:spacing w:before="28" w:after="28"/>
            </w:pPr>
            <w:r>
              <w:rPr>
                <w:sz w:val="15"/>
                <w:szCs w:val="15"/>
              </w:rPr>
              <w:t xml:space="preserve">(1,002,240)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400"/>
            <w:shd w:fill="FBFAF6" w:val="clear"/>
            <w:tcMar>
              <w:top w:type="dxa" w:w="50"/>
              <w:left w:type="dxa" w:w="110"/>
              <w:bottom w:type="dxa" w:w="50"/>
              <w:right w:type="dxa" w:w="110"/>
            </w:tcMar>
          </w:tcPr>
          <w:p>
            <w:pPr>
              <w:spacing w:before="28" w:after="28"/>
            </w:pPr>
            <w:r>
              <w:rPr>
                <w:sz w:val="15"/>
                <w:szCs w:val="15"/>
              </w:rPr>
              <w:t xml:space="preserve">200,210</w:t>
            </w:r>
          </w:p>
        </w:tc>
      </w:tr>
      <w:tr>
        <w:tc>
          <w:tcPr>
            <w:tcW w:type="pct" w:w="2600"/>
            <w:tcMar>
              <w:top w:type="dxa" w:w="50"/>
              <w:left w:type="dxa" w:w="110"/>
              <w:bottom w:type="dxa" w:w="50"/>
              <w:right w:type="dxa" w:w="110"/>
            </w:tcMar>
          </w:tcPr>
          <w:p>
            <w:pPr>
              <w:spacing w:before="28" w:after="28"/>
            </w:pPr>
            <w:r>
              <w:rPr>
                <w:sz w:val="15"/>
                <w:szCs w:val="15"/>
              </w:rPr>
              <w:t xml:space="preserve">Short-term borrowing during the year</w:t>
            </w:r>
          </w:p>
        </w:tc>
        <w:tc>
          <w:tcPr>
            <w:tcW w:type="pct" w:w="2400"/>
            <w:tcMar>
              <w:top w:type="dxa" w:w="50"/>
              <w:left w:type="dxa" w:w="110"/>
              <w:bottom w:type="dxa" w:w="50"/>
              <w:right w:type="dxa" w:w="110"/>
            </w:tcMar>
          </w:tcPr>
          <w:p>
            <w:pPr>
              <w:spacing w:before="28" w:after="28"/>
            </w:pPr>
            <w:r>
              <w:rPr>
                <w:sz w:val="15"/>
                <w:szCs w:val="15"/>
              </w:rPr>
              <w:t xml:space="preserve">1,000,000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400"/>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2400"/>
            <w:tcMar>
              <w:top w:type="dxa" w:w="50"/>
              <w:left w:type="dxa" w:w="110"/>
              <w:bottom w:type="dxa" w:w="50"/>
              <w:right w:type="dxa" w:w="110"/>
            </w:tcMar>
          </w:tcPr>
          <w:p>
            <w:pPr>
              <w:spacing w:before="28" w:after="28"/>
            </w:pPr>
            <w:r>
              <w:rPr>
                <w:sz w:val="15"/>
                <w:szCs w:val="15"/>
              </w:rPr>
              <w:t xml:space="preserv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Outside financing needed at the year end   ·   Dividends to be paid (next year)   ·   Cash generated by operations   ·   Cash left over for the year   ·   Repaid during the year</w:t>
            </w:r>
          </w:p>
        </w:tc>
      </w:tr>
    </w:tbl>
    <w:p/>
    <w:p>
      <w:pPr>
        <w:spacing w:before="44" w:after="14"/>
      </w:pPr>
      <w:r>
        <w:rPr>
          <w:b/>
          <w:bCs/>
          <w:color w:val="353A7C"/>
          <w:sz w:val="18"/>
          <w:szCs w:val="18"/>
        </w:rPr>
        <w:t xml:space="preserve">Summary 1</w:t>
      </w:r>
      <w:r>
        <w:rPr>
          <w:color w:val="6B7280"/>
          <w:sz w:val="16"/>
          <w:szCs w:val="16"/>
        </w:rPr>
        <w:t xml:space="preserve">      gaps 5–7</w:t>
      </w:r>
    </w:p>
    <w:p>
      <w:pPr>
        <w:spacing w:before="20" w:after="20" w:line="360" w:lineRule="auto"/>
        <w:ind w:left="200"/>
      </w:pPr>
      <w:r>
        <w:rPr>
          <w:sz w:val="19"/>
          <w:szCs w:val="19"/>
        </w:rPr>
        <w:t xml:space="preserve">The division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$1,000,000 during the year but repaid it all, so no outside financing is needed at the year end. </w:t>
      </w:r>
      <w:r>
        <w:rPr>
          <w:sz w:val="19"/>
          <w:szCs w:val="19"/>
        </w:rPr>
        <w:t xml:space="preserve">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borrowing of, not a funding gap. </w:t>
      </w:r>
      <w:r>
        <w:rPr>
          <w:sz w:val="19"/>
          <w:szCs w:val="19"/>
        </w:rPr>
        <w:t xml:space="preserve">Dividend policy decides how much of net income leaves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decisions   ·   borrowed   ·   business   ·   seasonal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dividend and retained earnings for 2028</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Dividend policy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Net income</w:t>
            </w:r>
          </w:p>
        </w:tc>
        <w:tc>
          <w:tcPr>
            <w:tcW w:type="pct" w:w="2400"/>
            <w:tcMar>
              <w:top w:type="dxa" w:w="50"/>
              <w:left w:type="dxa" w:w="110"/>
              <w:bottom w:type="dxa" w:w="50"/>
              <w:right w:type="dxa" w:w="110"/>
            </w:tcMar>
          </w:tcPr>
          <w:p>
            <w:pPr>
              <w:spacing w:before="28" w:after="28"/>
            </w:pPr>
            <w:r>
              <w:rPr>
                <w:sz w:val="15"/>
                <w:szCs w:val="15"/>
              </w:rPr>
              <w:t xml:space="preserve">2,505,600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Payout rate</w:t>
            </w:r>
          </w:p>
        </w:tc>
        <w:tc>
          <w:tcPr>
            <w:tcW w:type="pct" w:w="2400"/>
            <w:shd w:fill="FBFAF6" w:val="clear"/>
            <w:tcMar>
              <w:top w:type="dxa" w:w="50"/>
              <w:left w:type="dxa" w:w="110"/>
              <w:bottom w:type="dxa" w:w="50"/>
              <w:right w:type="dxa" w:w="110"/>
            </w:tcMar>
          </w:tcPr>
          <w:p>
            <w:pPr>
              <w:spacing w:before="28" w:after="28"/>
            </w:pPr>
            <w:r>
              <w:rPr>
                <w:sz w:val="15"/>
                <w:szCs w:val="15"/>
              </w:rPr>
              <w:t xml:space="preserve">40%</w:t>
            </w:r>
          </w:p>
        </w:tc>
      </w:tr>
      <w:tr>
        <w:tc>
          <w:tcPr>
            <w:tcW w:type="pct" w:w="2600"/>
            <w:tcMar>
              <w:top w:type="dxa" w:w="50"/>
              <w:left w:type="dxa" w:w="110"/>
              <w:bottom w:type="dxa" w:w="50"/>
              <w:right w:type="dxa" w:w="110"/>
            </w:tcMar>
          </w:tcPr>
          <w:p>
            <w:pPr>
              <w:spacing w:before="28" w:after="28"/>
            </w:pPr>
            <w:r>
              <w:rPr>
                <w:sz w:val="15"/>
                <w:szCs w:val="15"/>
              </w:rPr>
              <w:t xml:space="preserve">Dividend</w:t>
            </w:r>
          </w:p>
        </w:tc>
        <w:tc>
          <w:tcPr>
            <w:tcW w:type="pct" w:w="2400"/>
            <w:tcMar>
              <w:top w:type="dxa" w:w="50"/>
              <w:left w:type="dxa" w:w="110"/>
              <w:bottom w:type="dxa" w:w="50"/>
              <w:right w:type="dxa" w:w="110"/>
            </w:tcMar>
          </w:tcPr>
          <w:p>
            <w:pPr>
              <w:spacing w:before="28" w:after="28"/>
            </w:pPr>
            <w:r>
              <w:rPr>
                <w:sz w:val="15"/>
                <w:szCs w:val="15"/>
              </w:rPr>
              <w:t xml:space="preserve">1,002,240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400"/>
            <w:shd w:fill="FBFAF6" w:val="clear"/>
            <w:tcMar>
              <w:top w:type="dxa" w:w="50"/>
              <w:left w:type="dxa" w:w="110"/>
              <w:bottom w:type="dxa" w:w="50"/>
              <w:right w:type="dxa" w:w="110"/>
            </w:tcMar>
          </w:tcPr>
          <w:p>
            <w:pPr>
              <w:spacing w:before="28" w:after="28"/>
            </w:pPr>
            <w:r>
              <w:rPr>
                <w:sz w:val="15"/>
                <w:szCs w:val="15"/>
              </w:rPr>
              <w:t xml:space="preserve">1,503,360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400"/>
            <w:tcMar>
              <w:top w:type="dxa" w:w="50"/>
              <w:left w:type="dxa" w:w="110"/>
              <w:bottom w:type="dxa" w:w="50"/>
              <w:right w:type="dxa" w:w="110"/>
            </w:tcMar>
          </w:tcPr>
          <w:p>
            <w:pPr>
              <w:spacing w:before="28" w:after="28"/>
            </w:pPr>
            <w:r>
              <w:rPr>
                <w:sz w:val="15"/>
                <w:szCs w:val="15"/>
              </w:rPr>
              <w:t xml:space="preserve">2,389,220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Retained earnings at 31 December</w:t>
            </w:r>
          </w:p>
        </w:tc>
        <w:tc>
          <w:tcPr>
            <w:tcW w:type="pct" w:w="2400"/>
            <w:shd w:fill="FBFAF6" w:val="clear"/>
            <w:tcMar>
              <w:top w:type="dxa" w:w="50"/>
              <w:left w:type="dxa" w:w="110"/>
              <w:bottom w:type="dxa" w:w="50"/>
              <w:right w:type="dxa" w:w="110"/>
            </w:tcMar>
          </w:tcPr>
          <w:p>
            <w:pPr>
              <w:spacing w:before="28" w:after="28"/>
            </w:pPr>
            <w:r>
              <w:rPr>
                <w:sz w:val="15"/>
                <w:szCs w:val="15"/>
              </w:rPr>
              <w:t xml:space="preserve">3,892,580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Retained earnings at 1 January   ·   Cash generated by operations   ·   Retained in the division</w:t>
            </w:r>
          </w:p>
        </w:tc>
      </w:tr>
    </w:tbl>
    <w:p/>
    <w:p>
      <w:pPr>
        <w:spacing w:before="44" w:after="14"/>
      </w:pPr>
      <w:r>
        <w:rPr>
          <w:b/>
          <w:bCs/>
          <w:color w:val="353A7C"/>
          <w:sz w:val="18"/>
          <w:szCs w:val="18"/>
        </w:rPr>
        <w:t xml:space="preserve">Summary 2</w:t>
      </w:r>
      <w:r>
        <w:rPr>
          <w:color w:val="6B7280"/>
          <w:sz w:val="16"/>
          <w:szCs w:val="16"/>
        </w:rPr>
        <w:t xml:space="preserve">      gaps 10–11</w:t>
      </w:r>
    </w:p>
    <w:p>
      <w:pPr>
        <w:spacing w:before="20" w:after="20" w:line="360" w:lineRule="auto"/>
        <w:ind w:left="200"/>
      </w:pPr>
      <w:r>
        <w:rPr>
          <w:sz w:val="19"/>
          <w:szCs w:val="19"/>
        </w:rPr>
        <w:t xml:space="preserve">The two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are linked. </w:t>
      </w:r>
      <w:r>
        <w:rPr>
          <w:sz w:val="19"/>
          <w:szCs w:val="19"/>
        </w:rPr>
        <w:t xml:space="preserve">A larger dividend would leave less cash and might force borrowing;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one funds growth but gives owners less now.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smaller   ·   decisions   ·   outside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required outside financing</w:t>
            </w:r>
          </w:p>
        </w:tc>
        <w:tc>
          <w:tcPr>
            <w:tcW w:type="pct" w:w="2400"/>
            <w:tcMar>
              <w:top w:type="dxa" w:w="50"/>
              <w:left w:type="dxa" w:w="110"/>
              <w:bottom w:type="dxa" w:w="50"/>
              <w:right w:type="dxa" w:w="110"/>
            </w:tcMar>
          </w:tcPr>
          <w:p>
            <w:pPr>
              <w:spacing w:before="26" w:after="26"/>
            </w:pPr>
            <w:r>
              <w:rPr>
                <w:color w:val="232733"/>
                <w:sz w:val="16"/>
                <w:szCs w:val="16"/>
              </w:rPr>
              <w:t xml:space="preserve">التمويل الخارجي المطلوب</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 policy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سياسة توزيع الأرباح</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10.5  Outside financing and dividend policy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Cash generated by operations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business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Cash left over for the year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Retained in the 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Repaid during the year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Retained earnings at 1 January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Outside financing needed at the year end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decisions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borrowed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smaller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seasonal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division borrowed $1,000,000 during the year but repaid it all, so no outside financing is needed at the year end. The seasonal borrowing of, not a funding gap. Dividend policy decides how much of net income leaves the business.</w:t>
      </w:r>
    </w:p>
    <w:p>
      <w:pPr>
        <w:spacing w:before="20" w:after="20"/>
        <w:ind w:left="240" w:hanging="240"/>
      </w:pPr>
      <w:r>
        <w:rPr>
          <w:b/>
          <w:bCs/>
          <w:color w:val="353A7C"/>
          <w:sz w:val="15"/>
          <w:szCs w:val="15"/>
        </w:rPr>
        <w:t xml:space="preserve">Summary 2   </w:t>
      </w:r>
      <w:r>
        <w:rPr>
          <w:color w:val="6B7280"/>
          <w:sz w:val="15"/>
          <w:szCs w:val="15"/>
        </w:rPr>
        <w:t xml:space="preserve">The two decisions are linked. A larger dividend would leave less cash and might force borrowing; a smaller one funds growth but gives owners less now.</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10.6  Extended Example 10A: looking beyond next year</w:t>
            </w:r>
          </w:p>
          <w:p>
            <w:pPr>
              <w:spacing w:before="0" w:after="46"/>
            </w:pPr>
            <w:r>
              <w:rPr>
                <w:color w:val="E8EAF6"/>
                <w:sz w:val="16"/>
                <w:szCs w:val="16"/>
              </w:rPr>
              <w:t xml:space="preserve">Chapter 10 · section 10.6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The board also asks what cash the division will need up to 2032, the end of the strategic plan. </w:t>
      </w:r>
      <w:r>
        <w:rPr>
          <w:sz w:val="19"/>
          <w:szCs w:val="19"/>
        </w:rPr>
        <w:t xml:space="preserve">Medium- and long-term forecasts are built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from the quarterly cash budget. </w:t>
      </w:r>
      <w:r>
        <w:rPr>
          <w:sz w:val="19"/>
          <w:szCs w:val="19"/>
        </w:rPr>
        <w:t xml:space="preserve">This example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A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cash budget works from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of known orders and invoices. </w:t>
      </w:r>
      <w:r>
        <w:rPr>
          <w:sz w:val="19"/>
          <w:szCs w:val="19"/>
        </w:rPr>
        <w:t xml:space="preserve">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forecast works from the strategic plan: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growth, the investment it needs, and the working capital that grows with sales. </w:t>
      </w:r>
      <w:r>
        <w:rPr>
          <w:sz w:val="19"/>
          <w:szCs w:val="19"/>
        </w:rPr>
        <w:t xml:space="preserve">Growth: the juice market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so sales and working capital will keep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Capacity: the plant will reach its limit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 few years. </w:t>
      </w:r>
      <w:r>
        <w:rPr>
          <w:sz w:val="19"/>
          <w:szCs w:val="19"/>
        </w:rPr>
        <w:t xml:space="preserve">Cash: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generate $3,702,450 a year 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volumes, which funds the current plan but not a second line. </w:t>
      </w:r>
      <w:r>
        <w:rPr>
          <w:sz w:val="19"/>
          <w:szCs w:val="19"/>
        </w:rPr>
        <w:t xml:space="preserve">The division tells the board that it can fund 2028 from its own cash, but that a second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line would need outside financing or a lower dividend. </w:t>
      </w:r>
      <w:r>
        <w:rPr>
          <w:sz w:val="19"/>
          <w:szCs w:val="19"/>
        </w:rPr>
        <w:t xml:space="preserve">The longer the horizon, the wider the range, so the forecast is given as scenarios rather than one figure.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differently   ·   schedules   ·   operations   ·   filling   ·   recalculate   ·   present   ·   exam-core   ·   medium-term   ·   short-term   ·   planned   ·   within   ·   rising   ·   growing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2</w:t>
      </w:r>
      <w:r>
        <w:rPr>
          <w:color w:val="6B7280"/>
          <w:sz w:val="16"/>
          <w:szCs w:val="16"/>
        </w:rPr>
        <w:t xml:space="preserve">      gaps 13–14</w:t>
      </w:r>
    </w:p>
    <w:p>
      <w:pPr>
        <w:spacing w:before="20" w:after="20" w:line="360" w:lineRule="auto"/>
        <w:ind w:left="200"/>
      </w:pPr>
      <w:r>
        <w:rPr>
          <w:sz w:val="19"/>
          <w:szCs w:val="19"/>
        </w:rPr>
        <w:t xml:space="preserve">Balance sheet: assets $12,361,970 =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$2,469,390 + equity $9,892,580. </w:t>
      </w:r>
      <w:r>
        <w:rPr>
          <w:sz w:val="19"/>
          <w:szCs w:val="19"/>
        </w:rPr>
        <w:t xml:space="preserve">Cash flows end at $1,702,450,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cash of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forecast   ·   ending   ·   liabilities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15–17</w:t>
      </w:r>
    </w:p>
    <w:p>
      <w:pPr>
        <w:spacing w:before="20" w:after="20" w:line="360" w:lineRule="auto"/>
        <w:ind w:left="200"/>
      </w:pPr>
      <w:r>
        <w:rPr>
          <w:sz w:val="19"/>
          <w:szCs w:val="19"/>
        </w:rPr>
        <w:t xml:space="preserve">Expect to complete a pro forma income statement with interest and tax, and to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it under a new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You may also have to find a missing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figure, or work out the dividend and the outside financing a plan needs.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assumption   ·   balance-sheet   ·   liabilities   ·   recalculate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factors in a medium- or long-term cash forecast</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Factor in a medium- or long-term cash forecast (</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2400"/>
            <w:tcMar>
              <w:top w:type="dxa" w:w="50"/>
              <w:left w:type="dxa" w:w="110"/>
              <w:bottom w:type="dxa" w:w="50"/>
              <w:right w:type="dxa" w:w="110"/>
            </w:tcMar>
          </w:tcPr>
          <w:p>
            <w:pPr>
              <w:spacing w:before="28" w:after="28"/>
            </w:pPr>
            <w:r>
              <w:rPr>
                <w:sz w:val="15"/>
                <w:szCs w:val="15"/>
              </w:rPr>
              <w:t xml:space="preserve">Strategic plan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Capacity and investment</w:t>
            </w:r>
          </w:p>
        </w:tc>
        <w:tc>
          <w:tcPr>
            <w:tcW w:type="pct" w:w="2600"/>
            <w:shd w:fill="FBFAF6" w:val="clear"/>
            <w:tcMar>
              <w:top w:type="dxa" w:w="50"/>
              <w:left w:type="dxa" w:w="110"/>
              <w:bottom w:type="dxa" w:w="50"/>
              <w:right w:type="dxa" w:w="110"/>
            </w:tcMar>
          </w:tcPr>
          <w:p>
            <w:pPr>
              <w:spacing w:before="28" w:after="28"/>
            </w:pPr>
            <w:r>
              <w:rPr>
                <w:sz w:val="15"/>
                <w:szCs w:val="15"/>
              </w:rPr>
              <w:t xml:space="preserve">When the plant reaches its limit and what the next line would cost</w:t>
            </w:r>
          </w:p>
        </w:tc>
      </w:tr>
      <w:tr>
        <w:tc>
          <w:tcPr>
            <w:tcW w:type="pct" w:w="2400"/>
            <w:tcMar>
              <w:top w:type="dxa" w:w="50"/>
              <w:left w:type="dxa" w:w="110"/>
              <w:bottom w:type="dxa" w:w="50"/>
              <w:right w:type="dxa" w:w="110"/>
            </w:tcMar>
          </w:tcPr>
          <w:p>
            <w:pPr>
              <w:spacing w:before="28" w:after="28"/>
            </w:pPr>
            <w:r>
              <w:rPr>
                <w:sz w:val="15"/>
                <w:szCs w:val="15"/>
              </w:rPr>
              <w:t xml:space="preserve">Working capital</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Financing and repayment</w:t>
            </w:r>
          </w:p>
        </w:tc>
        <w:tc>
          <w:tcPr>
            <w:tcW w:type="pct" w:w="2600"/>
            <w:shd w:fill="FBFAF6" w:val="clear"/>
            <w:tcMar>
              <w:top w:type="dxa" w:w="50"/>
              <w:left w:type="dxa" w:w="110"/>
              <w:bottom w:type="dxa" w:w="50"/>
              <w:right w:type="dxa" w:w="110"/>
            </w:tcMar>
          </w:tcPr>
          <w:p>
            <w:pPr>
              <w:spacing w:before="28" w:after="28"/>
            </w:pPr>
            <w:r>
              <w:rPr>
                <w:sz w:val="15"/>
                <w:szCs w:val="15"/>
              </w:rPr>
              <w:t xml:space="preserve">Loan repayments, interest rates and the dividend policy</w:t>
            </w:r>
          </w:p>
        </w:tc>
      </w:tr>
      <w:tr>
        <w:tc>
          <w:tcPr>
            <w:tcW w:type="pct" w:w="2400"/>
            <w:tcMar>
              <w:top w:type="dxa" w:w="50"/>
              <w:left w:type="dxa" w:w="110"/>
              <w:bottom w:type="dxa" w:w="50"/>
              <w:right w:type="dxa" w:w="110"/>
            </w:tcMar>
          </w:tcPr>
          <w:p>
            <w:pPr>
              <w:spacing w:before="28" w:after="28"/>
            </w:pPr>
            <w:r>
              <w:rPr>
                <w:sz w:val="15"/>
                <w:szCs w:val="15"/>
              </w:rPr>
              <w:t xml:space="preserve">Economy and market</w:t>
            </w:r>
          </w:p>
        </w:tc>
        <w:tc>
          <w:tcPr>
            <w:tcW w:type="pct" w:w="2600"/>
            <w:tcMar>
              <w:top w:type="dxa" w:w="50"/>
              <w:left w:type="dxa" w:w="110"/>
              <w:bottom w:type="dxa" w:w="50"/>
              <w:right w:type="dxa" w:w="110"/>
            </w:tcMar>
          </w:tcPr>
          <w:p>
            <w:pPr>
              <w:spacing w:before="28" w:after="28"/>
            </w:pPr>
            <w:r>
              <w:rPr>
                <w:sz w:val="15"/>
                <w:szCs w:val="15"/>
              </w:rPr>
              <w:t xml:space="preserve">Growth, inflation, exchange rates and </w:t>
            </w:r>
            <w:r>
              <w:rPr>
                <w:b/>
                <w:bCs/>
                <w:color w:val="8186EF"/>
                <w:sz w:val="14"/>
                <w:szCs w:val="14"/>
              </w:rPr>
              <w:t xml:space="preserve"> (20) </w:t>
            </w:r>
            <w:r>
              <w:rPr>
                <w:u w:val="single"/>
                <w:sz w:val="15"/>
                <w:szCs w:val="15"/>
              </w:rPr>
              <w:t xml:space="preserve">              </w:t>
            </w:r>
            <w:r>
              <w:rPr>
                <w:sz w:val="15"/>
                <w:szCs w:val="15"/>
              </w:rPr>
              <w:t xml:space="preserve"> </w:t>
            </w:r>
            <w:r>
              <w:rPr>
                <w:sz w:val="15"/>
                <w:szCs w:val="15"/>
              </w:rPr>
              <w:t xml:space="preserve"> (Chapters 2–3)</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Uncertainty</w:t>
            </w:r>
          </w:p>
        </w:tc>
        <w:tc>
          <w:tcPr>
            <w:tcW w:type="pct" w:w="2600"/>
            <w:shd w:fill="FBFAF6" w:val="clear"/>
            <w:tcMar>
              <w:top w:type="dxa" w:w="50"/>
              <w:left w:type="dxa" w:w="110"/>
              <w:bottom w:type="dxa" w:w="50"/>
              <w:right w:type="dxa" w:w="110"/>
            </w:tcMar>
          </w:tcPr>
          <w:p>
            <w:pPr>
              <w:spacing w:before="28" w:after="28"/>
            </w:pPr>
            <w:r>
              <w:rPr>
                <w:sz w:val="15"/>
                <w:szCs w:val="15"/>
              </w:rPr>
              <w:t xml:space="preserve">Scenarios rather than one forecast; the longer the horizon, the wider the range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Receivables, inventory and payables grow with sales   ·   Export and new-product goals to 2032 (Chapter 1)   ·   Category   ·   competitors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Tahini &amp; Spreads, 2028 (USD) — Amount</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400"/>
            <w:tcMar>
              <w:top w:type="dxa" w:w="50"/>
              <w:left w:type="dxa" w:w="110"/>
              <w:bottom w:type="dxa" w:w="50"/>
              <w:right w:type="dxa" w:w="110"/>
            </w:tcMar>
          </w:tcPr>
          <w:p>
            <w:pPr>
              <w:spacing w:before="28" w:after="28"/>
            </w:pPr>
            <w:r>
              <w:rPr>
                <w:sz w:val="15"/>
                <w:szCs w:val="15"/>
              </w:rPr>
              <w:t xml:space="preserve">1,250,000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400"/>
            <w:shd w:fill="FBFAF6" w:val="clear"/>
            <w:tcMar>
              <w:top w:type="dxa" w:w="50"/>
              <w:left w:type="dxa" w:w="110"/>
              <w:bottom w:type="dxa" w:w="50"/>
              <w:right w:type="dxa" w:w="110"/>
            </w:tcMar>
          </w:tcPr>
          <w:p>
            <w:pPr>
              <w:spacing w:before="28" w:after="28"/>
            </w:pPr>
            <w:r>
              <w:rPr>
                <w:sz w:val="15"/>
                <w:szCs w:val="15"/>
              </w:rPr>
              <w:t xml:space="preserve">60,000</w:t>
            </w:r>
          </w:p>
        </w:tc>
      </w:tr>
      <w:tr>
        <w:tc>
          <w:tcPr>
            <w:tcW w:type="pct" w:w="2600"/>
            <w:tcMar>
              <w:top w:type="dxa" w:w="50"/>
              <w:left w:type="dxa" w:w="110"/>
              <w:bottom w:type="dxa" w:w="50"/>
              <w:right w:type="dxa" w:w="110"/>
            </w:tcMar>
          </w:tcPr>
          <w:p>
            <w:pPr>
              <w:spacing w:before="28" w:after="28"/>
            </w:pPr>
            <w:r>
              <w:rPr>
                <w:sz w:val="15"/>
                <w:szCs w:val="15"/>
              </w:rPr>
              <w:t xml:space="preserve">Income tax rate</w:t>
            </w:r>
          </w:p>
        </w:tc>
        <w:tc>
          <w:tcPr>
            <w:tcW w:type="pct" w:w="2400"/>
            <w:tcMar>
              <w:top w:type="dxa" w:w="50"/>
              <w:left w:type="dxa" w:w="110"/>
              <w:bottom w:type="dxa" w:w="50"/>
              <w:right w:type="dxa" w:w="110"/>
            </w:tcMar>
          </w:tcPr>
          <w:p>
            <w:pPr>
              <w:spacing w:before="28" w:after="28"/>
            </w:pPr>
            <w:r>
              <w:rPr>
                <w:sz w:val="15"/>
                <w:szCs w:val="15"/>
              </w:rPr>
              <w:t xml:space="preserve">20%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400"/>
            <w:shd w:fill="FBFAF6" w:val="clear"/>
            <w:tcMar>
              <w:top w:type="dxa" w:w="50"/>
              <w:left w:type="dxa" w:w="110"/>
              <w:bottom w:type="dxa" w:w="50"/>
              <w:right w:type="dxa" w:w="110"/>
            </w:tcMar>
          </w:tcPr>
          <w:p>
            <w:pPr>
              <w:spacing w:before="28" w:after="28"/>
            </w:pPr>
            <w:r>
              <w:rPr>
                <w:sz w:val="15"/>
                <w:szCs w:val="15"/>
              </w:rPr>
              <w:t xml:space="preserve">40%</w:t>
            </w:r>
          </w:p>
        </w:tc>
      </w:tr>
      <w:tr>
        <w:tc>
          <w:tcPr>
            <w:tcW w:type="pct" w:w="2600"/>
            <w:tcMar>
              <w:top w:type="dxa" w:w="50"/>
              <w:left w:type="dxa" w:w="110"/>
              <w:bottom w:type="dxa" w:w="50"/>
              <w:right w:type="dxa" w:w="110"/>
            </w:tcMar>
          </w:tcPr>
          <w:p>
            <w:pPr>
              <w:spacing w:before="28" w:after="28"/>
            </w:pPr>
            <w:r>
              <w:rPr>
                <w:sz w:val="15"/>
                <w:szCs w:val="15"/>
              </w:rPr>
              <w:t xml:space="preserve">Retained earnings at 1 January 2028</w:t>
            </w:r>
          </w:p>
        </w:tc>
        <w:tc>
          <w:tcPr>
            <w:tcW w:type="pct" w:w="2400"/>
            <w:tcMar>
              <w:top w:type="dxa" w:w="50"/>
              <w:left w:type="dxa" w:w="110"/>
              <w:bottom w:type="dxa" w:w="50"/>
              <w:right w:type="dxa" w:w="110"/>
            </w:tcMar>
          </w:tcPr>
          <w:p>
            <w:pPr>
              <w:spacing w:before="28" w:after="28"/>
            </w:pPr>
            <w:r>
              <w:rPr>
                <w:sz w:val="15"/>
                <w:szCs w:val="15"/>
              </w:rPr>
              <w:t xml:space="preserve">1,800,000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2400"/>
            <w:shd w:fill="FBFAF6" w:val="clear"/>
            <w:tcMar>
              <w:top w:type="dxa" w:w="50"/>
              <w:left w:type="dxa" w:w="110"/>
              <w:bottom w:type="dxa" w:w="50"/>
              <w:right w:type="dxa" w:w="110"/>
            </w:tcMar>
          </w:tcPr>
          <w:p>
            <w:pPr>
              <w:spacing w:before="28" w:after="28"/>
            </w:pPr>
            <w:r>
              <w:rPr>
                <w:sz w:val="15"/>
                <w:szCs w:val="15"/>
              </w:rPr>
              <w:t xml:space="preserve">7,400,000</w:t>
            </w:r>
          </w:p>
        </w:tc>
      </w:tr>
      <w:tr>
        <w:tc>
          <w:tcPr>
            <w:tcW w:type="pct" w:w="2600"/>
            <w:tcMar>
              <w:top w:type="dxa" w:w="50"/>
              <w:left w:type="dxa" w:w="110"/>
              <w:bottom w:type="dxa" w:w="50"/>
              <w:right w:type="dxa" w:w="110"/>
            </w:tcMar>
          </w:tcPr>
          <w:p>
            <w:pPr>
              <w:spacing w:before="28" w:after="28"/>
            </w:pPr>
            <w:r>
              <w:rPr>
                <w:sz w:val="15"/>
                <w:szCs w:val="15"/>
              </w:rPr>
              <w:t xml:space="preserve">Total assets at 31 December 2028</w:t>
            </w:r>
          </w:p>
        </w:tc>
        <w:tc>
          <w:tcPr>
            <w:tcW w:type="pct" w:w="2400"/>
            <w:tcMar>
              <w:top w:type="dxa" w:w="50"/>
              <w:left w:type="dxa" w:w="110"/>
              <w:bottom w:type="dxa" w:w="50"/>
              <w:right w:type="dxa" w:w="110"/>
            </w:tcMar>
          </w:tcPr>
          <w:p>
            <w:pPr>
              <w:spacing w:before="28" w:after="28"/>
            </w:pPr>
            <w:r>
              <w:rPr>
                <w:sz w:val="15"/>
                <w:szCs w:val="15"/>
              </w:rPr>
              <w:t xml:space="preserve">8,100,000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Interest on the division loan   ·   Total assets at 1 January 2028   ·   pro forma statement of cash flows   ·   Budgeted operating income   ·   Dividend payout rate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Cases and margin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Contribution margin</w:t>
            </w:r>
          </w:p>
        </w:tc>
        <w:tc>
          <w:tcPr>
            <w:tcW w:type="pct" w:w="2600"/>
            <w:shd w:fill="FBFAF6" w:val="clear"/>
            <w:tcMar>
              <w:top w:type="dxa" w:w="50"/>
              <w:left w:type="dxa" w:w="110"/>
              <w:bottom w:type="dxa" w:w="50"/>
              <w:right w:type="dxa" w:w="110"/>
            </w:tcMar>
          </w:tcPr>
          <w:p>
            <w:pPr>
              <w:spacing w:before="28" w:after="28"/>
            </w:pPr>
            <w:r>
              <w:rPr>
                <w:sz w:val="15"/>
                <w:szCs w:val="15"/>
              </w:rPr>
              <w:t xml:space="preserve">$2,349,300 + $4,200,000 fixed costs</w:t>
            </w:r>
          </w:p>
        </w:tc>
      </w:tr>
      <w:tr>
        <w:tc>
          <w:tcPr>
            <w:tcW w:type="pct" w:w="2400"/>
            <w:tcMar>
              <w:top w:type="dxa" w:w="50"/>
              <w:left w:type="dxa" w:w="110"/>
              <w:bottom w:type="dxa" w:w="50"/>
              <w:right w:type="dxa" w:w="110"/>
            </w:tcMar>
          </w:tcPr>
          <w:p>
            <w:pPr>
              <w:spacing w:before="28" w:after="28"/>
            </w:pPr>
            <w:r>
              <w:rPr>
                <w:sz w:val="15"/>
                <w:szCs w:val="15"/>
              </w:rPr>
              <w:t xml:space="preserve">Operating income</w:t>
            </w:r>
          </w:p>
        </w:tc>
        <w:tc>
          <w:tcPr>
            <w:tcW w:type="pct" w:w="2600"/>
            <w:tcMar>
              <w:top w:type="dxa" w:w="50"/>
              <w:left w:type="dxa" w:w="110"/>
              <w:bottom w:type="dxa" w:w="50"/>
              <w:right w:type="dxa" w:w="110"/>
            </w:tcMar>
          </w:tcPr>
          <w:p>
            <w:pPr>
              <w:spacing w:before="28" w:after="28"/>
            </w:pPr>
            <w:r>
              <w:rPr>
                <w:sz w:val="15"/>
                <w:szCs w:val="15"/>
              </w:rPr>
              <w:t xml:space="preserve">$2,349,300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 forma balance sheet   ·   855,000 cases at $7.66</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Category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0"/>
            <w:tcMar>
              <w:top w:type="dxa" w:w="50"/>
              <w:left w:type="dxa" w:w="110"/>
              <w:bottom w:type="dxa" w:w="50"/>
              <w:right w:type="dxa" w:w="110"/>
            </w:tcMar>
          </w:tcPr>
          <w:p>
            <w:pPr>
              <w:spacing w:before="28" w:after="28"/>
            </w:pPr>
            <w:r>
              <w:rPr>
                <w:sz w:val="15"/>
                <w:szCs w:val="15"/>
              </w:rPr>
              <w:t xml:space="preserve">Income tax expense</w:t>
            </w:r>
          </w:p>
        </w:tc>
        <w:tc>
          <w:tcPr>
            <w:tcW w:type="pct" w:w="2600"/>
            <w:tcMar>
              <w:top w:type="dxa" w:w="50"/>
              <w:left w:type="dxa" w:w="110"/>
              <w:bottom w:type="dxa" w:w="50"/>
              <w:right w:type="dxa" w:w="110"/>
            </w:tcMar>
          </w:tcPr>
          <w:p>
            <w:pPr>
              <w:spacing w:before="28" w:after="28"/>
            </w:pPr>
            <w:r>
              <w:rPr>
                <w:sz w:val="15"/>
                <w:szCs w:val="15"/>
              </w:rPr>
              <w:t xml:space="preserve">Pro forma income statement</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2600"/>
            <w:shd w:fill="FBFAF6" w:val="clear"/>
            <w:tcMar>
              <w:top w:type="dxa" w:w="50"/>
              <w:left w:type="dxa" w:w="110"/>
              <w:bottom w:type="dxa" w:w="50"/>
              <w:right w:type="dxa" w:w="110"/>
            </w:tcMar>
          </w:tcPr>
          <w:p>
            <w:pPr>
              <w:spacing w:before="28" w:after="28"/>
            </w:pPr>
            <w:r>
              <w:rPr>
                <w:sz w:val="15"/>
                <w:szCs w:val="15"/>
              </w:rPr>
              <w:t xml:space="preserve">Pro forma balance sheet</w:t>
            </w:r>
          </w:p>
        </w:tc>
      </w:tr>
      <w:tr>
        <w:tc>
          <w:tcPr>
            <w:tcW w:type="pct" w:w="2400"/>
            <w:tcMar>
              <w:top w:type="dxa" w:w="50"/>
              <w:left w:type="dxa" w:w="110"/>
              <w:bottom w:type="dxa" w:w="50"/>
              <w:right w:type="dxa" w:w="110"/>
            </w:tcMar>
          </w:tcPr>
          <w:p>
            <w:pPr>
              <w:spacing w:before="28" w:after="28"/>
            </w:pPr>
            <w:r>
              <w:rPr>
                <w:sz w:val="15"/>
                <w:szCs w:val="15"/>
              </w:rPr>
              <w:t xml:space="preserve">Depreciation added back</w:t>
            </w:r>
          </w:p>
        </w:tc>
        <w:tc>
          <w:tcPr>
            <w:tcW w:type="pct" w:w="2600"/>
            <w:tcMar>
              <w:top w:type="dxa" w:w="50"/>
              <w:left w:type="dxa" w:w="110"/>
              <w:bottom w:type="dxa" w:w="50"/>
              <w:right w:type="dxa" w:w="110"/>
            </w:tcMar>
          </w:tcPr>
          <w:p>
            <w:pPr>
              <w:spacing w:before="28" w:after="28"/>
            </w:pPr>
            <w:r>
              <w:rPr>
                <w:sz w:val="15"/>
                <w:szCs w:val="15"/>
              </w:rPr>
              <w:t xml:space="preserve">Pro forma statement of cash flows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Retained earnings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(26)</w:t>
            </w:r>
          </w:p>
        </w:tc>
      </w:tr>
      <w:tr>
        <w:tc>
          <w:tcPr>
            <w:tcW w:type="pct" w:w="2400"/>
            <w:tcMar>
              <w:top w:type="dxa" w:w="50"/>
              <w:left w:type="dxa" w:w="110"/>
              <w:bottom w:type="dxa" w:w="50"/>
              <w:right w:type="dxa" w:w="110"/>
            </w:tcMar>
          </w:tcPr>
          <w:p>
            <w:pPr>
              <w:spacing w:before="28" w:after="28"/>
            </w:pPr>
            <w:r>
              <w:rPr>
                <w:sz w:val="15"/>
                <w:szCs w:val="15"/>
              </w:rPr>
              <w:t xml:space="preserve">Purchase of the new mixer</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 forma statement of cash flows   ·   Pro forma balance sheet   ·   Total assets at 31 December 2028</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تحليل الحساسية   ·   required outside financing   ·   sensitivity analysis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pro forma 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القوائم المالية التقديرية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required outside financing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التمويل الخارجي المطلوب</w:t>
            </w:r>
          </w:p>
        </w:tc>
      </w:tr>
      <w:tr>
        <w:tc>
          <w:tcPr>
            <w:tcW w:type="pct" w:w="2600"/>
            <w:tcMar>
              <w:top w:type="dxa" w:w="50"/>
              <w:left w:type="dxa" w:w="110"/>
              <w:bottom w:type="dxa" w:w="50"/>
              <w:right w:type="dxa" w:w="110"/>
            </w:tcMar>
          </w:tcPr>
          <w:p>
            <w:pPr>
              <w:spacing w:before="26" w:after="26"/>
            </w:pPr>
            <w:r>
              <w:rPr>
                <w:color w:val="232733"/>
                <w:sz w:val="16"/>
                <w:szCs w:val="16"/>
              </w:rPr>
              <w:t xml:space="preserve">sensitivity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الحساسية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10.6  Extended Example 10A: looking beyond next year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differently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assumption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exam-core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balance-sheet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Export and new-product goals to 2032 (Chapter 1)</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schedules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Receivables, inventory and payables grow with sales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medium-term</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competitors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planned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Budgeted operating income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growing</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Interest on the division loan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rising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Dividend payout rate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within</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Total assets at 1 January 2028</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operations</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855,000 cases at $7.66</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present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Pro forma balance sheet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filling</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 forma statement of cash flows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liabilities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required outside financing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ending</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sensitivity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recalculate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board also asks what cash the division will need up to 2032, the end of the strategic plan. Medium- and long-term forecasts are built differently from the quarterly cash budget. This example is exam-core. A short-term cash budget works from schedules of known orders and invoices. A medium-term forecast works from the strategic plan: planned growth, the investment it needs, and the working capital that grows with sales. Growth: the juice market is growing, so sales and working capital will keep rising. Capacity: the plant will reach its limit within a few years. Cash: operations generate $3,702,450 a year at present volumes, which funds the current plan but not a second line. The division tells the board that it can fund 2028 from its own cash, but that a second filling line would need outside financing or a lower dividend. The longer the horizon, the wider the range, so the forecast is given as scenarios rather than one figure.</w:t>
      </w:r>
    </w:p>
    <w:p>
      <w:pPr>
        <w:spacing w:before="20" w:after="20"/>
        <w:ind w:left="240" w:hanging="240"/>
      </w:pPr>
      <w:r>
        <w:rPr>
          <w:b/>
          <w:bCs/>
          <w:color w:val="353A7C"/>
          <w:sz w:val="15"/>
          <w:szCs w:val="15"/>
        </w:rPr>
        <w:t xml:space="preserve">Summary 2   </w:t>
      </w:r>
      <w:r>
        <w:rPr>
          <w:color w:val="6B7280"/>
          <w:sz w:val="15"/>
          <w:szCs w:val="15"/>
        </w:rPr>
        <w:t xml:space="preserve">Balance sheet: assets $12,361,970 = liabilities $2,469,390 + equity $9,892,580. Cash flows end at $1,702,450, the ending cash of the.</w:t>
      </w:r>
    </w:p>
    <w:p>
      <w:pPr>
        <w:spacing w:before="20" w:after="20"/>
        <w:ind w:left="240" w:hanging="240"/>
      </w:pPr>
      <w:r>
        <w:rPr>
          <w:b/>
          <w:bCs/>
          <w:color w:val="353A7C"/>
          <w:sz w:val="15"/>
          <w:szCs w:val="15"/>
        </w:rPr>
        <w:t xml:space="preserve">Summary 3   </w:t>
      </w:r>
      <w:r>
        <w:rPr>
          <w:color w:val="6B7280"/>
          <w:sz w:val="15"/>
          <w:szCs w:val="15"/>
        </w:rPr>
        <w:t xml:space="preserve">Expect to complete a pro forma income statement with interest and tax, and to recalculate it under a new assumption. You may also have to find a missing balance-sheet figure, or work out the dividend and the outside financing a plan needs.</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10.1 · Purpose and relationships</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10.2 · The pro forma income statement and its assumptions</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10.3 · Testing the strategic objectives</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10.4 · The pro forma balance sheet and statement of cash flows</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10.5 · Outside financing and dividend policy</w:t>
          </w:r>
        </w:p>
      </w:tc>
      <w:tc>
        <w:tcPr>
          <w:tcW w:type="pct" w:w="1400"/>
          <w:tcMar>
            <w:top w:type="dxa" w:w="-30"/>
            <w:left w:type="dxa" w:w="30"/>
            <w:bottom w:type="dxa" w:w="-30"/>
            <w:right w:type="dxa" w:w="30"/>
          </w:tcMar>
        </w:tcPr>
        <w:p>
          <w:pPr>
            <w:jc w:val="right"/>
          </w:pPr>
          <w:r>
            <w:rPr>
              <w:color w:val="6B7280"/>
              <w:sz w:val="16"/>
              <w:szCs w:val="16"/>
            </w:rPr>
            <w:t xml:space="preserve">Handout 10.5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10.6 · Extended Example 10A: looking beyond next year</w:t>
          </w:r>
        </w:p>
      </w:tc>
      <w:tc>
        <w:tcPr>
          <w:tcW w:type="pct" w:w="1400"/>
          <w:tcMar>
            <w:top w:type="dxa" w:w="-30"/>
            <w:left w:type="dxa" w:w="30"/>
            <w:bottom w:type="dxa" w:w="-30"/>
            <w:right w:type="dxa" w:w="30"/>
          </w:tcMar>
        </w:tcPr>
        <w:p>
          <w:pPr>
            <w:jc w:val="right"/>
          </w:pPr>
          <w:r>
            <w:rPr>
              <w:color w:val="6B7280"/>
              <w:sz w:val="16"/>
              <w:szCs w:val="16"/>
            </w:rPr>
            <w:t xml:space="preserve">Handout 10.6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10.6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5951de4a6d9d16fa855db3bf96ca78ec6f49a74.png" Type="http://schemas.openxmlformats.org/officeDocument/2006/relationships/image"/><Relationship Id="rId102" Target="media/fb1ebe23e4eddb153d31e4b96d738148d3ec9dc6.png" Type="http://schemas.openxmlformats.org/officeDocument/2006/relationships/image"/><Relationship Id="rId103" Target="media/eafd2991c4c0aed2b870175e03e4c6cec88a8052.png" Type="http://schemas.openxmlformats.org/officeDocument/2006/relationships/image"/><Relationship Id="rId104" Target="media/e0fe7c05776034faa2131fb357d47a7642bf281d.png" Type="http://schemas.openxmlformats.org/officeDocument/2006/relationships/image"/><Relationship Id="rId105" Target="media/bab82d9db4bab5b03f8f6eb32fe05c4db0fd814a.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10</dc:title>
  <dc:subject>Summary handouts</dc:subject>
  <cp:category>Student Book</cp:category>
</cp:coreProperties>
</file>