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12.1  Standard costing and why companies use it</w:t>
            </w:r>
          </w:p>
          <w:p>
            <w:pPr>
              <w:spacing w:before="0" w:after="46"/>
            </w:pPr>
            <w:r>
              <w:rPr>
                <w:color w:val="E8EAF6"/>
                <w:sz w:val="16"/>
                <w:szCs w:val="16"/>
              </w:rPr>
              <w:t xml:space="preserve">Chapter 12 · section 12.1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material variances   ·   direct labor efficiency variance   ·   Responsibility and linked variances   ·   Standard costing and why companies use it</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In a standard costing system,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labor and overhead are recorded at standard cost, and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between standard and actual are recorded as variances.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cost of goods sold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carry the same cost for every unit. </w:t>
      </w:r>
      <w:r>
        <w:rPr>
          <w:sz w:val="19"/>
          <w:szCs w:val="19"/>
        </w:rPr>
        <w:t xml:space="preserve">Together they explain why Orontes keeps standards even though its actual costs are known.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materials   ·   Together   ·   Inventory   ·   therefore   ·   differences</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The system has costs of its own. </w:t>
      </w:r>
      <w:r>
        <w:rPr>
          <w:sz w:val="19"/>
          <w:szCs w:val="19"/>
        </w:rPr>
        <w:t xml:space="preserve">Standards must be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as prices and methods change, as Book 2, and a standard that is out of date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variances that mean nothing.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reviewed   ·   produces   ·   variances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6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168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Motivation   ·   Responsibility   ·   standard costing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standard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التكاليف المعيارية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12.1  Standard costing and why companies use it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Standard costing and why companies use it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Direct material variances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reviewed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Responsibility and linked variances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Responsibility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Motivation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Inventory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 a standard costing system, materials, labor and overhead are recorded at standard cost, and the differences between standard and actual are recorded as variances. Inventory and cost of goods sold therefore carry the same cost for every unit. Together they explain why Orontes keeps standards even though its actual costs are known.</w:t>
      </w:r>
    </w:p>
    <w:p>
      <w:pPr>
        <w:spacing w:before="20" w:after="20"/>
        <w:ind w:left="240" w:hanging="240"/>
      </w:pPr>
      <w:r>
        <w:rPr>
          <w:b/>
          <w:bCs/>
          <w:color w:val="353A7C"/>
          <w:sz w:val="15"/>
          <w:szCs w:val="15"/>
        </w:rPr>
        <w:t xml:space="preserve">Summary 2   </w:t>
      </w:r>
      <w:r>
        <w:rPr>
          <w:color w:val="6B7280"/>
          <w:sz w:val="15"/>
          <w:szCs w:val="15"/>
        </w:rPr>
        <w:t xml:space="preserve">The system has costs of its own. Standards must be reviewed as prices and methods change, as Book 2, and a standard that is out of date produces variances that mean nothing.</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12.2  The three-column frame</w:t>
            </w:r>
          </w:p>
          <w:p>
            <w:pPr>
              <w:spacing w:before="0" w:after="46"/>
            </w:pPr>
            <w:r>
              <w:rPr>
                <w:color w:val="E8EAF6"/>
                <w:sz w:val="16"/>
                <w:szCs w:val="16"/>
              </w:rPr>
              <w:t xml:space="preserve">Chapter 12 · section 12.2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Every input variance uses the same three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The left gap changes only the price, so it is the price or rate variance. </w:t>
      </w:r>
      <w:r>
        <w:rPr>
          <w:sz w:val="19"/>
          <w:szCs w:val="19"/>
        </w:rPr>
        <w:t xml:space="preserve">The right gap changes only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so it is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or usage variance.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columns   ·   standard   ·   efficiency   ·   quantity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68"/>
        <w:gridCol w:w="2769"/>
        <w:gridCol w:w="39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Formulas for price and efficiency variances</w:t>
            </w:r>
          </w:p>
        </w:tc>
      </w:tr>
      <w:tr>
        <w:tc>
          <w:tcPr>
            <w:tcW w:type="pct" w:w="1494"/>
            <w:shd w:fill="353A7C" w:val="clear"/>
            <w:tcMar>
              <w:top w:type="dxa" w:w="50"/>
              <w:left w:type="dxa" w:w="110"/>
              <w:bottom w:type="dxa" w:w="50"/>
              <w:right w:type="dxa" w:w="110"/>
            </w:tcMar>
          </w:tcPr>
          <w:p>
            <w:pPr>
              <w:spacing w:before="30" w:after="30"/>
            </w:pPr>
            <w:r>
              <w:rPr>
                <w:b/>
                <w:bCs/>
                <w:color w:val="FFFFFF"/>
                <w:sz w:val="15"/>
                <w:szCs w:val="15"/>
              </w:rPr>
              <w:t xml:space="preserve">Variance</w:t>
            </w:r>
          </w:p>
        </w:tc>
        <w:tc>
          <w:tcPr>
            <w:tcW w:type="pct" w:w="1442"/>
            <w:shd w:fill="353A7C" w:val="clear"/>
            <w:tcMar>
              <w:top w:type="dxa" w:w="50"/>
              <w:left w:type="dxa" w:w="110"/>
              <w:bottom w:type="dxa" w:w="50"/>
              <w:right w:type="dxa" w:w="110"/>
            </w:tcMar>
          </w:tcPr>
          <w:p>
            <w:pPr>
              <w:spacing w:before="30" w:after="30"/>
            </w:pPr>
            <w:r>
              <w:rPr>
                <w:b/>
                <w:bCs/>
                <w:color w:val="FFFFFF"/>
                <w:sz w:val="15"/>
                <w:szCs w:val="15"/>
              </w:rPr>
              <w:t xml:space="preserve">Formula</w:t>
            </w:r>
          </w:p>
        </w:tc>
        <w:tc>
          <w:tcPr>
            <w:tcW w:type="pct" w:w="2064"/>
            <w:shd w:fill="353A7C" w:val="clear"/>
            <w:tcMar>
              <w:top w:type="dxa" w:w="50"/>
              <w:left w:type="dxa" w:w="110"/>
              <w:bottom w:type="dxa" w:w="50"/>
              <w:right w:type="dxa" w:w="110"/>
            </w:tcMar>
          </w:tcPr>
          <w:p>
            <w:pPr>
              <w:spacing w:before="30" w:after="30"/>
            </w:pPr>
            <w:r>
              <w:rPr>
                <w:b/>
                <w:bCs/>
                <w:color w:val="FFFFFF"/>
                <w:sz w:val="15"/>
                <w:szCs w:val="15"/>
              </w:rPr>
              <w:t xml:space="preserve">Valued at</w:t>
            </w:r>
          </w:p>
        </w:tc>
      </w:tr>
      <w:tr>
        <w:tc>
          <w:tcPr>
            <w:tcW w:type="pct" w:w="1494"/>
            <w:tcMar>
              <w:top w:type="dxa" w:w="50"/>
              <w:left w:type="dxa" w:w="110"/>
              <w:bottom w:type="dxa" w:w="50"/>
              <w:right w:type="dxa" w:w="110"/>
            </w:tcMar>
          </w:tcPr>
          <w:p>
            <w:pPr>
              <w:spacing w:before="28" w:after="28"/>
            </w:pPr>
            <w:r>
              <w:rPr>
                <w:sz w:val="15"/>
                <w:szCs w:val="15"/>
              </w:rPr>
              <w:t xml:space="preserve">Material price</w:t>
            </w:r>
          </w:p>
        </w:tc>
        <w:tc>
          <w:tcPr>
            <w:tcW w:type="pct" w:w="1442"/>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064"/>
            <w:tcMar>
              <w:top w:type="dxa" w:w="50"/>
              <w:left w:type="dxa" w:w="110"/>
              <w:bottom w:type="dxa" w:w="50"/>
              <w:right w:type="dxa" w:w="110"/>
            </w:tcMar>
          </w:tcPr>
          <w:p>
            <w:pPr>
              <w:spacing w:before="28" w:after="28"/>
            </w:pPr>
            <w:r>
              <w:rPr>
                <w:sz w:val="15"/>
                <w:szCs w:val="15"/>
              </w:rPr>
              <w:t xml:space="preserve">actual quantity bought or used</w:t>
            </w:r>
          </w:p>
        </w:tc>
      </w:tr>
      <w:tr>
        <w:tc>
          <w:tcPr>
            <w:tcW w:type="pct" w:w="1494"/>
            <w:shd w:fill="FBFAF6" w:val="clear"/>
            <w:tcMar>
              <w:top w:type="dxa" w:w="50"/>
              <w:left w:type="dxa" w:w="110"/>
              <w:bottom w:type="dxa" w:w="50"/>
              <w:right w:type="dxa" w:w="110"/>
            </w:tcMar>
          </w:tcPr>
          <w:p>
            <w:pPr>
              <w:spacing w:before="28" w:after="28"/>
            </w:pPr>
            <w:r>
              <w:rPr>
                <w:sz w:val="15"/>
                <w:szCs w:val="15"/>
              </w:rPr>
              <w:t xml:space="preserve">Material usage</w:t>
            </w:r>
          </w:p>
        </w:tc>
        <w:tc>
          <w:tcPr>
            <w:tcW w:type="pct" w:w="1442"/>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64"/>
            <w:shd w:fill="FBFAF6" w:val="clear"/>
            <w:tcMar>
              <w:top w:type="dxa" w:w="50"/>
              <w:left w:type="dxa" w:w="110"/>
              <w:bottom w:type="dxa" w:w="50"/>
              <w:right w:type="dxa" w:w="110"/>
            </w:tcMar>
          </w:tcPr>
          <w:p>
            <w:pPr>
              <w:spacing w:before="28" w:after="28"/>
            </w:pPr>
            <w:r>
              <w:rPr>
                <w:sz w:val="15"/>
                <w:szCs w:val="15"/>
              </w:rPr>
              <w:t xml:space="preserve">standard price</w:t>
            </w:r>
          </w:p>
        </w:tc>
      </w:tr>
      <w:tr>
        <w:tc>
          <w:tcPr>
            <w:tcW w:type="pct" w:w="1494"/>
            <w:tcMar>
              <w:top w:type="dxa" w:w="50"/>
              <w:left w:type="dxa" w:w="110"/>
              <w:bottom w:type="dxa" w:w="50"/>
              <w:right w:type="dxa" w:w="110"/>
            </w:tcMar>
          </w:tcPr>
          <w:p>
            <w:pPr>
              <w:spacing w:before="28" w:after="28"/>
            </w:pPr>
            <w:r>
              <w:rPr>
                <w:sz w:val="15"/>
                <w:szCs w:val="15"/>
              </w:rPr>
              <w:t xml:space="preserve">Labor rate</w:t>
            </w:r>
          </w:p>
        </w:tc>
        <w:tc>
          <w:tcPr>
            <w:tcW w:type="pct" w:w="1442"/>
            <w:tcMar>
              <w:top w:type="dxa" w:w="50"/>
              <w:left w:type="dxa" w:w="110"/>
              <w:bottom w:type="dxa" w:w="50"/>
              <w:right w:type="dxa" w:w="110"/>
            </w:tcMar>
          </w:tcPr>
          <w:p>
            <w:pPr>
              <w:spacing w:before="28" w:after="28"/>
            </w:pPr>
            <w:r>
              <w:rPr>
                <w:sz w:val="15"/>
                <w:szCs w:val="15"/>
              </w:rPr>
              <w:t xml:space="preserve">(AR − SR) × AH</w:t>
            </w:r>
          </w:p>
        </w:tc>
        <w:tc>
          <w:tcPr>
            <w:tcW w:type="pct" w:w="2064"/>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494"/>
            <w:shd w:fill="FBFAF6" w:val="clear"/>
            <w:tcMar>
              <w:top w:type="dxa" w:w="50"/>
              <w:left w:type="dxa" w:w="110"/>
              <w:bottom w:type="dxa" w:w="50"/>
              <w:right w:type="dxa" w:w="110"/>
            </w:tcMar>
          </w:tcPr>
          <w:p>
            <w:pPr>
              <w:spacing w:before="28" w:after="28"/>
            </w:pPr>
            <w:r>
              <w:rPr>
                <w:sz w:val="15"/>
                <w:szCs w:val="15"/>
              </w:rPr>
              <w:t xml:space="preserve">Labor efficiency</w:t>
            </w:r>
          </w:p>
        </w:tc>
        <w:tc>
          <w:tcPr>
            <w:tcW w:type="pct" w:w="1442"/>
            <w:shd w:fill="FBFAF6" w:val="clear"/>
            <w:tcMar>
              <w:top w:type="dxa" w:w="50"/>
              <w:left w:type="dxa" w:w="110"/>
              <w:bottom w:type="dxa" w:w="50"/>
              <w:right w:type="dxa" w:w="110"/>
            </w:tcMar>
          </w:tcPr>
          <w:p>
            <w:pPr>
              <w:spacing w:before="28" w:after="28"/>
            </w:pPr>
            <w:r>
              <w:rPr>
                <w:sz w:val="15"/>
                <w:szCs w:val="15"/>
              </w:rPr>
              <w:t xml:space="preserve">(AH − SH allowed) × SR</w:t>
            </w:r>
          </w:p>
        </w:tc>
        <w:tc>
          <w:tcPr>
            <w:tcW w:type="pct" w:w="2064"/>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494"/>
            <w:tcMar>
              <w:top w:type="dxa" w:w="50"/>
              <w:left w:type="dxa" w:w="110"/>
              <w:bottom w:type="dxa" w:w="50"/>
              <w:right w:type="dxa" w:w="110"/>
            </w:tcMar>
          </w:tcPr>
          <w:p>
            <w:pPr>
              <w:spacing w:before="28" w:after="28"/>
            </w:pPr>
            <w:r>
              <w:rPr>
                <w:sz w:val="15"/>
                <w:szCs w:val="15"/>
              </w:rPr>
              <w:t xml:space="preserve">Total for an input</w:t>
            </w:r>
          </w:p>
        </w:tc>
        <w:tc>
          <w:tcPr>
            <w:tcW w:type="pct" w:w="1442"/>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064"/>
            <w:tcMar>
              <w:top w:type="dxa" w:w="50"/>
              <w:left w:type="dxa" w:w="110"/>
              <w:bottom w:type="dxa" w:w="50"/>
              <w:right w:type="dxa" w:w="110"/>
            </w:tcMar>
          </w:tcPr>
          <w:p>
            <w:pPr>
              <w:spacing w:before="28" w:after="28"/>
            </w:pPr>
            <w:r>
              <w:rPr>
                <w:sz w:val="15"/>
                <w:szCs w:val="15"/>
              </w:rPr>
              <w:t xml:space="preserve">both parts together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(AQ − SQ allowed) × SP   ·   (AP − SP) × AQ   ·   standard rate   ·   actual cost − standard cost allowed   ·   actual hours worked   ·   (AH − SH allowed) × SR</w:t>
            </w:r>
          </w:p>
        </w:tc>
      </w:tr>
    </w:tbl>
    <w:p/>
    <w:p>
      <w:pPr>
        <w:spacing w:before="44" w:after="14"/>
      </w:pPr>
      <w:r>
        <w:rPr>
          <w:b/>
          <w:bCs/>
          <w:color w:val="353A7C"/>
          <w:sz w:val="18"/>
          <w:szCs w:val="18"/>
        </w:rPr>
        <w:t xml:space="preserve">Summary 2</w:t>
      </w:r>
      <w:r>
        <w:rPr>
          <w:color w:val="6B7280"/>
          <w:sz w:val="16"/>
          <w:szCs w:val="16"/>
        </w:rPr>
        <w:t xml:space="preserve">      gaps 9–11</w:t>
      </w:r>
    </w:p>
    <w:p>
      <w:pPr>
        <w:spacing w:before="20" w:after="20" w:line="360" w:lineRule="auto"/>
        <w:ind w:left="200"/>
      </w:pPr>
      <w:r>
        <w:rPr>
          <w:sz w:val="19"/>
          <w:szCs w:val="19"/>
        </w:rPr>
        <w:t xml:space="preserve">The standard quantity allowed is the heart of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column: it is the input the standard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the output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produced, not for the output planned. </w:t>
      </w:r>
      <w:r>
        <w:rPr>
          <w:sz w:val="19"/>
          <w:szCs w:val="19"/>
        </w:rPr>
        <w:t xml:space="preserve">In June that is 72,000 cases, not 75,000.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actually   ·   produced   ·   permits   ·   right-hand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06"/>
        <w:gridCol w:w="489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5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4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51"/>
            <w:tcMar>
              <w:top w:type="dxa" w:w="50"/>
              <w:left w:type="dxa" w:w="110"/>
              <w:bottom w:type="dxa" w:w="50"/>
              <w:right w:type="dxa" w:w="110"/>
            </w:tcMar>
          </w:tcPr>
          <w:p>
            <w:pPr>
              <w:spacing w:before="26" w:after="26"/>
            </w:pPr>
            <w:r>
              <w:rPr>
                <w:color w:val="232733"/>
                <w:sz w:val="16"/>
                <w:szCs w:val="16"/>
              </w:rPr>
              <w:t xml:space="preserve">standard quantity allowed</w:t>
            </w:r>
          </w:p>
        </w:tc>
        <w:tc>
          <w:tcPr>
            <w:tcW w:type="pct" w:w="2549"/>
            <w:tcMar>
              <w:top w:type="dxa" w:w="50"/>
              <w:left w:type="dxa" w:w="110"/>
              <w:bottom w:type="dxa" w:w="50"/>
              <w:right w:type="dxa" w:w="110"/>
            </w:tcMar>
          </w:tcPr>
          <w:p>
            <w:pPr>
              <w:spacing w:before="26" w:after="26"/>
            </w:pPr>
            <w:r>
              <w:rPr>
                <w:color w:val="232733"/>
                <w:sz w:val="16"/>
                <w:szCs w:val="16"/>
              </w:rPr>
              <w:t xml:space="preserve">الكمية المعيارية المسموح بها</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12.2  The three-column frame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columns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standard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actual cost − standard cost allowed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efficiency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right-hand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(AP − SP) × AQ</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permits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(AQ − SQ allowed) × SP</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actually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actual hours worked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Every input variance uses the same three columns. The left gap changes only the price, so it is the price or rate variance. The right gap changes only the quantity, so it is the efficiency or usage variance.</w:t>
      </w:r>
    </w:p>
    <w:p>
      <w:pPr>
        <w:spacing w:before="20" w:after="20"/>
        <w:ind w:left="240" w:hanging="240"/>
      </w:pPr>
      <w:r>
        <w:rPr>
          <w:b/>
          <w:bCs/>
          <w:color w:val="353A7C"/>
          <w:sz w:val="15"/>
          <w:szCs w:val="15"/>
        </w:rPr>
        <w:t xml:space="preserve">Summary 2   </w:t>
      </w:r>
      <w:r>
        <w:rPr>
          <w:color w:val="6B7280"/>
          <w:sz w:val="15"/>
          <w:szCs w:val="15"/>
        </w:rPr>
        <w:t xml:space="preserve">The standard quantity allowed is the heart of the right-hand column: it is the input the standard permits for the output actually produced, not for the output planned. In June that is 72,000 cases, not 75,000.</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12.3  Direct material variances</w:t>
            </w:r>
          </w:p>
          <w:p>
            <w:pPr>
              <w:spacing w:before="0" w:after="46"/>
            </w:pPr>
            <w:r>
              <w:rPr>
                <w:color w:val="E8EAF6"/>
                <w:sz w:val="16"/>
                <w:szCs w:val="16"/>
              </w:rPr>
              <w:t xml:space="preserve">Chapter 12 · section 12.3</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The standard allows 6.0 liters a case, so 72,000 cases allow 432,000 liters; the plant used 437,000.</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concentrate in June</w:t>
            </w:r>
          </w:p>
        </w:tc>
      </w:tr>
    </w:tbl>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Price: ($0.92 − $0.90) × 437,000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 $8,740 unfavorable. </w:t>
      </w:r>
      <w:r>
        <w:rPr>
          <w:sz w:val="19"/>
          <w:szCs w:val="19"/>
        </w:rPr>
        <w:t xml:space="preserve">Usage: (437,000 − 432,000) × $0.90 = $4,500 unfavorable.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$13,240, the figure.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Together   ·   earlier   ·   liters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concentrate variances for June</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Concentrate, June 2028</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Cases produced</w:t>
            </w:r>
          </w:p>
        </w:tc>
        <w:tc>
          <w:tcPr>
            <w:tcW w:type="pct" w:w="2400"/>
            <w:tcMar>
              <w:top w:type="dxa" w:w="50"/>
              <w:left w:type="dxa" w:w="110"/>
              <w:bottom w:type="dxa" w:w="50"/>
              <w:right w:type="dxa" w:w="110"/>
            </w:tcMar>
          </w:tcPr>
          <w:p>
            <w:pPr>
              <w:spacing w:before="28" w:after="28"/>
            </w:pPr>
            <w:r>
              <w:rPr>
                <w:sz w:val="15"/>
                <w:szCs w:val="15"/>
              </w:rPr>
              <w:t xml:space="preserve">72,000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liters allowed (6.0 a case)</w:t>
            </w:r>
          </w:p>
        </w:tc>
        <w:tc>
          <w:tcPr>
            <w:tcW w:type="pct" w:w="2400"/>
            <w:shd w:fill="FBFAF6" w:val="clear"/>
            <w:tcMar>
              <w:top w:type="dxa" w:w="50"/>
              <w:left w:type="dxa" w:w="110"/>
              <w:bottom w:type="dxa" w:w="50"/>
              <w:right w:type="dxa" w:w="110"/>
            </w:tcMar>
          </w:tcPr>
          <w:p>
            <w:pPr>
              <w:spacing w:before="28" w:after="28"/>
            </w:pPr>
            <w:r>
              <w:rPr>
                <w:sz w:val="15"/>
                <w:szCs w:val="15"/>
              </w:rPr>
              <w:t xml:space="preserve">432,000</w:t>
            </w:r>
          </w:p>
        </w:tc>
      </w:tr>
      <w:tr>
        <w:tc>
          <w:tcPr>
            <w:tcW w:type="pct" w:w="2600"/>
            <w:tcMar>
              <w:top w:type="dxa" w:w="50"/>
              <w:left w:type="dxa" w:w="110"/>
              <w:bottom w:type="dxa" w:w="50"/>
              <w:right w:type="dxa" w:w="110"/>
            </w:tcMar>
          </w:tcPr>
          <w:p>
            <w:pPr>
              <w:spacing w:before="28" w:after="28"/>
            </w:pPr>
            <w:r>
              <w:rPr>
                <w:sz w:val="15"/>
                <w:szCs w:val="15"/>
              </w:rPr>
              <w:t xml:space="preserve">Actual liters used</w:t>
            </w:r>
          </w:p>
        </w:tc>
        <w:tc>
          <w:tcPr>
            <w:tcW w:type="pct" w:w="2400"/>
            <w:tcMar>
              <w:top w:type="dxa" w:w="50"/>
              <w:left w:type="dxa" w:w="110"/>
              <w:bottom w:type="dxa" w:w="50"/>
              <w:right w:type="dxa" w:w="110"/>
            </w:tcMar>
          </w:tcPr>
          <w:p>
            <w:pPr>
              <w:spacing w:before="28" w:after="28"/>
            </w:pPr>
            <w:r>
              <w:rPr>
                <w:sz w:val="15"/>
                <w:szCs w:val="15"/>
              </w:rPr>
              <w:t xml:space="preserve">437,000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price a liter</w:t>
            </w:r>
          </w:p>
        </w:tc>
        <w:tc>
          <w:tcPr>
            <w:tcW w:type="pct" w:w="2400"/>
            <w:shd w:fill="FBFAF6" w:val="clear"/>
            <w:tcMar>
              <w:top w:type="dxa" w:w="50"/>
              <w:left w:type="dxa" w:w="110"/>
              <w:bottom w:type="dxa" w:w="50"/>
              <w:right w:type="dxa" w:w="110"/>
            </w:tcMar>
          </w:tcPr>
          <w:p>
            <w:pPr>
              <w:spacing w:before="28" w:after="28"/>
            </w:pPr>
            <w:r>
              <w:rPr>
                <w:sz w:val="15"/>
                <w:szCs w:val="15"/>
              </w:rPr>
              <w:t xml:space="preserve">$0.90</w:t>
            </w:r>
          </w:p>
        </w:tc>
      </w:tr>
      <w:tr>
        <w:tc>
          <w:tcPr>
            <w:tcW w:type="pct" w:w="2600"/>
            <w:tcMar>
              <w:top w:type="dxa" w:w="50"/>
              <w:left w:type="dxa" w:w="110"/>
              <w:bottom w:type="dxa" w:w="50"/>
              <w:right w:type="dxa" w:w="110"/>
            </w:tcMar>
          </w:tcPr>
          <w:p>
            <w:pPr>
              <w:spacing w:before="28" w:after="28"/>
            </w:pPr>
            <w:r>
              <w:rPr>
                <w:sz w:val="15"/>
                <w:szCs w:val="15"/>
              </w:rPr>
              <w:t xml:space="preserve">Actual price a liter</w:t>
            </w:r>
          </w:p>
        </w:tc>
        <w:tc>
          <w:tcPr>
            <w:tcW w:type="pct" w:w="2400"/>
            <w:tcMar>
              <w:top w:type="dxa" w:w="50"/>
              <w:left w:type="dxa" w:w="110"/>
              <w:bottom w:type="dxa" w:w="50"/>
              <w:right w:type="dxa" w:w="110"/>
            </w:tcMar>
          </w:tcPr>
          <w:p>
            <w:pPr>
              <w:spacing w:before="28" w:after="28"/>
            </w:pPr>
            <w:r>
              <w:rPr>
                <w:sz w:val="15"/>
                <w:szCs w:val="15"/>
              </w:rPr>
              <w:t xml:space="preserve">$0.92</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Price variance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600"/>
            <w:tcMar>
              <w:top w:type="dxa" w:w="50"/>
              <w:left w:type="dxa" w:w="110"/>
              <w:bottom w:type="dxa" w:w="50"/>
              <w:right w:type="dxa" w:w="110"/>
            </w:tcMar>
          </w:tcPr>
          <w:p>
            <w:pPr>
              <w:spacing w:before="28" w:after="28"/>
            </w:pPr>
            <w:r>
              <w:rPr>
                <w:sz w:val="15"/>
                <w:szCs w:val="15"/>
              </w:rPr>
              <w:t xml:space="preserve">Usage variance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Total</w:t>
            </w:r>
          </w:p>
        </w:tc>
        <w:tc>
          <w:tcPr>
            <w:tcW w:type="pct" w:w="2400"/>
            <w:shd w:fill="FBFAF6" w:val="clear"/>
            <w:tcMar>
              <w:top w:type="dxa" w:w="50"/>
              <w:left w:type="dxa" w:w="110"/>
              <w:bottom w:type="dxa" w:w="50"/>
              <w:right w:type="dxa" w:w="110"/>
            </w:tcMar>
          </w:tcPr>
          <w:p>
            <w:pPr>
              <w:spacing w:before="28" w:after="28"/>
            </w:pPr>
            <w:r>
              <w:rPr>
                <w:sz w:val="15"/>
                <w:szCs w:val="15"/>
              </w:rPr>
              <w:t xml:space="preserve">13,240 U</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(437,000 − 432,000) × 0.90 = 4,500 U   ·   (0.92 − 0.90) × 437,000 = 8,740 U   ·   $260 of the variance is carried in stock</w:t>
            </w:r>
          </w:p>
        </w:tc>
      </w:tr>
    </w:tbl>
    <w:p/>
    <w:p>
      <w:pPr>
        <w:spacing w:before="44" w:after="14"/>
      </w:pPr>
      <w:r>
        <w:rPr>
          <w:b/>
          <w:bCs/>
          <w:color w:val="353A7C"/>
          <w:sz w:val="18"/>
          <w:szCs w:val="18"/>
        </w:rPr>
        <w:t xml:space="preserve">Summary 2</w:t>
      </w:r>
      <w:r>
        <w:rPr>
          <w:color w:val="6B7280"/>
          <w:sz w:val="16"/>
          <w:szCs w:val="16"/>
        </w:rPr>
        <w:t xml:space="preserve">      gaps 5–6</w:t>
      </w:r>
    </w:p>
    <w:p>
      <w:pPr>
        <w:spacing w:before="20" w:after="20" w:line="360" w:lineRule="auto"/>
        <w:ind w:left="200"/>
      </w:pPr>
      <w:r>
        <w:rPr>
          <w:sz w:val="19"/>
          <w:szCs w:val="19"/>
        </w:rPr>
        <w:t xml:space="preserve">The price variance can be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when the material is bought or when it is used. </w:t>
      </w:r>
      <w:r>
        <w:rPr>
          <w:sz w:val="19"/>
          <w:szCs w:val="19"/>
        </w:rPr>
        <w:t xml:space="preserve">Beverages bought 450,000 liters in June but used 437,000, so the two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differ by $260.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reports   ·   conventions   ·   measured</w:t>
            </w:r>
          </w:p>
        </w:tc>
      </w:tr>
    </w:tbl>
    <w:p/>
    <w:p>
      <w:pPr>
        <w:spacing w:before="44" w:after="10"/>
      </w:pPr>
      <w:r>
        <w:rPr>
          <w:b/>
          <w:bCs/>
          <w:color w:val="353A7C"/>
          <w:sz w:val="18"/>
          <w:szCs w:val="18"/>
        </w:rPr>
        <w:t xml:space="preserve">The price variance at purchase and at usage</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0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672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costing   ·   Difference</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8–11</w:t>
      </w:r>
    </w:p>
    <w:p>
      <w:pPr>
        <w:spacing w:before="20" w:after="20" w:line="360" w:lineRule="auto"/>
        <w:ind w:left="200"/>
      </w:pPr>
      <w:r>
        <w:rPr>
          <w:sz w:val="19"/>
          <w:szCs w:val="19"/>
        </w:rPr>
        <w:t xml:space="preserve">Measuring at purchase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variance earlier, which helps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act in time, and values the stock at standard. </w:t>
      </w:r>
      <w:r>
        <w:rPr>
          <w:sz w:val="19"/>
          <w:szCs w:val="19"/>
        </w:rPr>
        <w:t xml:space="preserve">Measuring at usage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variance to the period in which the material was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exam usually measures at purchase when it gives the quantity bought; otherwise use the quantity used.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matches   ·   purchasing   ·   consumed   ·   usually   ·   reports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Which quantity?</w:t>
            </w:r>
          </w:p>
        </w:tc>
      </w:tr>
    </w:tbl>
    <w:p/>
    <w:p>
      <w:pPr>
        <w:spacing w:before="44" w:after="14"/>
      </w:pPr>
      <w:r>
        <w:rPr>
          <w:b/>
          <w:bCs/>
          <w:color w:val="353A7C"/>
          <w:sz w:val="18"/>
          <w:szCs w:val="18"/>
        </w:rPr>
        <w:t xml:space="preserve">Summary 4</w:t>
      </w:r>
      <w:r>
        <w:rPr>
          <w:color w:val="6B7280"/>
          <w:sz w:val="16"/>
          <w:szCs w:val="16"/>
        </w:rPr>
        <w:t xml:space="preserve">      gaps 12–13</w:t>
      </w:r>
    </w:p>
    <w:p>
      <w:pPr>
        <w:spacing w:before="20" w:after="20" w:line="360" w:lineRule="auto"/>
        <w:ind w:left="200"/>
      </w:pPr>
      <w:r>
        <w:rPr>
          <w:sz w:val="19"/>
          <w:szCs w:val="19"/>
        </w:rPr>
        <w:t xml:space="preserve">The price variance always uses an actual quantity, bought or used; the usage variance always uses the standard price. </w:t>
      </w:r>
      <w:r>
        <w:rPr>
          <w:sz w:val="19"/>
          <w:szCs w:val="19"/>
        </w:rPr>
        <w:t xml:space="preserve">Using the standard quantity for the price variance, or the actual price for the usage variance,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part of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double-counts   ·   conventions   ·   difference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45"/>
        <w:gridCol w:w="465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7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2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75"/>
            <w:tcMar>
              <w:top w:type="dxa" w:w="50"/>
              <w:left w:type="dxa" w:w="110"/>
              <w:bottom w:type="dxa" w:w="50"/>
              <w:right w:type="dxa" w:w="110"/>
            </w:tcMar>
          </w:tcPr>
          <w:p>
            <w:pPr>
              <w:spacing w:before="26" w:after="26"/>
            </w:pPr>
            <w:r>
              <w:rPr>
                <w:color w:val="232733"/>
                <w:sz w:val="16"/>
                <w:szCs w:val="16"/>
              </w:rPr>
              <w:t xml:space="preserve">direct material price variance</w:t>
            </w:r>
          </w:p>
        </w:tc>
        <w:tc>
          <w:tcPr>
            <w:tcW w:type="pct" w:w="2425"/>
            <w:tcMar>
              <w:top w:type="dxa" w:w="50"/>
              <w:left w:type="dxa" w:w="110"/>
              <w:bottom w:type="dxa" w:w="50"/>
              <w:right w:type="dxa" w:w="110"/>
            </w:tcMar>
          </w:tcPr>
          <w:p>
            <w:pPr>
              <w:spacing w:before="26" w:after="26"/>
            </w:pPr>
            <w:r>
              <w:rPr>
                <w:color w:val="232733"/>
                <w:sz w:val="16"/>
                <w:szCs w:val="16"/>
              </w:rPr>
              <w:t xml:space="preserve">انحراف سعر المواد المباشرة</w:t>
            </w:r>
          </w:p>
        </w:tc>
      </w:tr>
      <w:tr>
        <w:tc>
          <w:tcPr>
            <w:tcW w:type="pct" w:w="2575"/>
            <w:shd w:fill="FBFAF6" w:val="clear"/>
            <w:tcMar>
              <w:top w:type="dxa" w:w="50"/>
              <w:left w:type="dxa" w:w="110"/>
              <w:bottom w:type="dxa" w:w="50"/>
              <w:right w:type="dxa" w:w="110"/>
            </w:tcMar>
          </w:tcPr>
          <w:p>
            <w:pPr>
              <w:spacing w:before="26" w:after="26"/>
            </w:pPr>
            <w:r>
              <w:rPr>
                <w:color w:val="232733"/>
                <w:sz w:val="16"/>
                <w:szCs w:val="16"/>
              </w:rPr>
              <w:t xml:space="preserve">direct material usage variance</w:t>
            </w:r>
          </w:p>
        </w:tc>
        <w:tc>
          <w:tcPr>
            <w:tcW w:type="pct" w:w="2425"/>
            <w:shd w:fill="FBFAF6" w:val="clear"/>
            <w:tcMar>
              <w:top w:type="dxa" w:w="50"/>
              <w:left w:type="dxa" w:w="110"/>
              <w:bottom w:type="dxa" w:w="50"/>
              <w:right w:type="dxa" w:w="110"/>
            </w:tcMar>
          </w:tcPr>
          <w:p>
            <w:pPr>
              <w:spacing w:before="26" w:after="26"/>
            </w:pPr>
            <w:r>
              <w:rPr>
                <w:color w:val="232733"/>
                <w:sz w:val="16"/>
                <w:szCs w:val="16"/>
              </w:rPr>
              <w:t xml:space="preserve">انحراف استخدام المواد المباشرة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12.3  Direct material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liters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purchasing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(0.92 − 0.90) × 437,000 = 8,740 U</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(437,000 − 432,000) × 0.90 = 4,500 U</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consumed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double-counts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conventions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Difference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Price: ($0.92 − $0.90) × 437,000 liters = $8,740 unfavorable. Usage: (437,000 − 432,000) × $0.90 = $4,500 unfavorable. Together $13,240, the figure.</w:t>
      </w:r>
    </w:p>
    <w:p>
      <w:pPr>
        <w:spacing w:before="20" w:after="20"/>
        <w:ind w:left="240" w:hanging="240"/>
      </w:pPr>
      <w:r>
        <w:rPr>
          <w:b/>
          <w:bCs/>
          <w:color w:val="353A7C"/>
          <w:sz w:val="15"/>
          <w:szCs w:val="15"/>
        </w:rPr>
        <w:t xml:space="preserve">Summary 2   </w:t>
      </w:r>
      <w:r>
        <w:rPr>
          <w:color w:val="6B7280"/>
          <w:sz w:val="15"/>
          <w:szCs w:val="15"/>
        </w:rPr>
        <w:t xml:space="preserve">The price variance can be measured when the material is bought or when it is used. Beverages bought 450,000 liters in June but used 437,000, so the two conventions differ by $260.</w:t>
      </w:r>
    </w:p>
    <w:p>
      <w:pPr>
        <w:spacing w:before="20" w:after="20"/>
        <w:ind w:left="240" w:hanging="240"/>
      </w:pPr>
      <w:r>
        <w:rPr>
          <w:b/>
          <w:bCs/>
          <w:color w:val="353A7C"/>
          <w:sz w:val="15"/>
          <w:szCs w:val="15"/>
        </w:rPr>
        <w:t xml:space="preserve">Summary 3   </w:t>
      </w:r>
      <w:r>
        <w:rPr>
          <w:color w:val="6B7280"/>
          <w:sz w:val="15"/>
          <w:szCs w:val="15"/>
        </w:rPr>
        <w:t xml:space="preserve">Measuring at purchase reports the variance earlier, which helps purchasing act in time, and values the stock at standard. Measuring at usage matches the variance to the period in which the material was consumed. The exam usually measures at purchase when it gives the quantity bought; otherwise use the quantity used.</w:t>
      </w:r>
    </w:p>
    <w:p>
      <w:pPr>
        <w:spacing w:before="20" w:after="20"/>
        <w:ind w:left="240" w:hanging="240"/>
      </w:pPr>
      <w:r>
        <w:rPr>
          <w:b/>
          <w:bCs/>
          <w:color w:val="353A7C"/>
          <w:sz w:val="15"/>
          <w:szCs w:val="15"/>
        </w:rPr>
        <w:t xml:space="preserve">Summary 4   </w:t>
      </w:r>
      <w:r>
        <w:rPr>
          <w:color w:val="6B7280"/>
          <w:sz w:val="15"/>
          <w:szCs w:val="15"/>
        </w:rPr>
        <w:t xml:space="preserve">The price variance always uses an actual quantity, bought or used; the usage variance always uses the standard price. Using the standard quantity for the price variance, or the actual price for the usage variance, double-counts part of the difference.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12.4  Direct labor variances</w:t>
            </w:r>
          </w:p>
          <w:p>
            <w:pPr>
              <w:spacing w:before="0" w:after="46"/>
            </w:pPr>
            <w:r>
              <w:rPr>
                <w:color w:val="E8EAF6"/>
                <w:sz w:val="16"/>
                <w:szCs w:val="16"/>
              </w:rPr>
              <w:t xml:space="preserve">Chapter 12 · section 12.4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Labor uses the same frame, with hours instead of liters and a wage rate instead of a price.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direct labor in June</w:t>
            </w:r>
          </w:p>
        </w:tc>
      </w:tr>
    </w:tbl>
    <w:p/>
    <w:p>
      <w:pPr>
        <w:spacing w:before="20" w:after="20" w:line="360" w:lineRule="auto"/>
        <w:ind w:left="200"/>
      </w:pPr>
      <w:r>
        <w:rPr>
          <w:sz w:val="19"/>
          <w:szCs w:val="19"/>
        </w:rPr>
        <w:t xml:space="preserve">Rate: ($12.10 − $12.00) × 3,680 hours = $368 unfavorable. Efficiency: (3,680 − 3,600) × $12.00 = $960 unfavorable.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direct labor variances for June</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Direct labor, June 2028</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400"/>
            <w:tcMar>
              <w:top w:type="dxa" w:w="50"/>
              <w:left w:type="dxa" w:w="110"/>
              <w:bottom w:type="dxa" w:w="50"/>
              <w:right w:type="dxa" w:w="110"/>
            </w:tcMar>
          </w:tcPr>
          <w:p>
            <w:pPr>
              <w:spacing w:before="28" w:after="28"/>
            </w:pPr>
            <w:r>
              <w:rPr>
                <w:sz w:val="15"/>
                <w:szCs w:val="15"/>
              </w:rPr>
              <w:t xml:space="preserve">Cases produced</w:t>
            </w:r>
          </w:p>
        </w:tc>
        <w:tc>
          <w:tcPr>
            <w:tcW w:type="pct" w:w="2600"/>
            <w:tcMar>
              <w:top w:type="dxa" w:w="50"/>
              <w:left w:type="dxa" w:w="110"/>
              <w:bottom w:type="dxa" w:w="50"/>
              <w:right w:type="dxa" w:w="110"/>
            </w:tcMar>
          </w:tcPr>
          <w:p>
            <w:pPr>
              <w:spacing w:before="28" w:after="28"/>
            </w:pPr>
            <w:r>
              <w:rPr>
                <w:sz w:val="15"/>
                <w:szCs w:val="15"/>
              </w:rPr>
              <w:t xml:space="preserve">72,000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600"/>
            <w:shd w:fill="FBFAF6" w:val="clear"/>
            <w:tcMar>
              <w:top w:type="dxa" w:w="50"/>
              <w:left w:type="dxa" w:w="110"/>
              <w:bottom w:type="dxa" w:w="50"/>
              <w:right w:type="dxa" w:w="110"/>
            </w:tcMar>
          </w:tcPr>
          <w:p>
            <w:pPr>
              <w:spacing w:before="28" w:after="28"/>
            </w:pPr>
            <w:r>
              <w:rPr>
                <w:sz w:val="15"/>
                <w:szCs w:val="15"/>
              </w:rPr>
              <w:t xml:space="preserve">3,600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600"/>
            <w:tcMar>
              <w:top w:type="dxa" w:w="50"/>
              <w:left w:type="dxa" w:w="110"/>
              <w:bottom w:type="dxa" w:w="50"/>
              <w:right w:type="dxa" w:w="110"/>
            </w:tcMar>
          </w:tcPr>
          <w:p>
            <w:pPr>
              <w:spacing w:before="28" w:after="28"/>
            </w:pPr>
            <w:r>
              <w:rPr>
                <w:sz w:val="15"/>
                <w:szCs w:val="15"/>
              </w:rPr>
              <w:t xml:space="preserve">3,680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Standard rate an hour</w:t>
            </w:r>
          </w:p>
        </w:tc>
        <w:tc>
          <w:tcPr>
            <w:tcW w:type="pct" w:w="2600"/>
            <w:shd w:fill="FBFAF6" w:val="clear"/>
            <w:tcMar>
              <w:top w:type="dxa" w:w="50"/>
              <w:left w:type="dxa" w:w="110"/>
              <w:bottom w:type="dxa" w:w="50"/>
              <w:right w:type="dxa" w:w="110"/>
            </w:tcMar>
          </w:tcPr>
          <w:p>
            <w:pPr>
              <w:spacing w:before="28" w:after="28"/>
            </w:pPr>
            <w:r>
              <w:rPr>
                <w:sz w:val="15"/>
                <w:szCs w:val="15"/>
              </w:rPr>
              <w:t xml:space="preserve">$12.00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600"/>
            <w:tcMar>
              <w:top w:type="dxa" w:w="50"/>
              <w:left w:type="dxa" w:w="110"/>
              <w:bottom w:type="dxa" w:w="50"/>
              <w:right w:type="dxa" w:w="110"/>
            </w:tcMar>
          </w:tcPr>
          <w:p>
            <w:pPr>
              <w:spacing w:before="28" w:after="28"/>
            </w:pPr>
            <w:r>
              <w:rPr>
                <w:sz w:val="15"/>
                <w:szCs w:val="15"/>
              </w:rPr>
              <w:t xml:space="preserve">$12.10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Rate variance</w:t>
            </w:r>
          </w:p>
        </w:tc>
        <w:tc>
          <w:tcPr>
            <w:tcW w:type="pct" w:w="2600"/>
            <w:shd w:fill="FBFAF6" w:val="clear"/>
            <w:tcMar>
              <w:top w:type="dxa" w:w="50"/>
              <w:left w:type="dxa" w:w="110"/>
              <w:bottom w:type="dxa" w:w="50"/>
              <w:right w:type="dxa" w:w="110"/>
            </w:tcMar>
          </w:tcPr>
          <w:p>
            <w:pPr>
              <w:spacing w:before="28" w:after="28"/>
            </w:pPr>
            <w:r>
              <w:rPr>
                <w:sz w:val="15"/>
                <w:szCs w:val="15"/>
              </w:rPr>
              <w:t xml:space="preserve">(12.10 − 12.00) × 3,680 = 368 U</w:t>
            </w:r>
          </w:p>
        </w:tc>
      </w:tr>
      <w:tr>
        <w:tc>
          <w:tcPr>
            <w:tcW w:type="pct" w:w="2400"/>
            <w:tcMar>
              <w:top w:type="dxa" w:w="50"/>
              <w:left w:type="dxa" w:w="110"/>
              <w:bottom w:type="dxa" w:w="50"/>
              <w:right w:type="dxa" w:w="110"/>
            </w:tcMar>
          </w:tcPr>
          <w:p>
            <w:pPr>
              <w:spacing w:before="28" w:after="28"/>
            </w:pPr>
            <w:r>
              <w:rPr>
                <w:sz w:val="15"/>
                <w:szCs w:val="15"/>
              </w:rPr>
              <w:t xml:space="preserve">Efficiency variance</w:t>
            </w:r>
          </w:p>
        </w:tc>
        <w:tc>
          <w:tcPr>
            <w:tcW w:type="pct" w:w="2600"/>
            <w:tcMar>
              <w:top w:type="dxa" w:w="50"/>
              <w:left w:type="dxa" w:w="110"/>
              <w:bottom w:type="dxa" w:w="50"/>
              <w:right w:type="dxa" w:w="110"/>
            </w:tcMar>
          </w:tcPr>
          <w:p>
            <w:pPr>
              <w:spacing w:before="28" w:after="28"/>
            </w:pPr>
            <w:r>
              <w:rPr>
                <w:sz w:val="15"/>
                <w:szCs w:val="15"/>
              </w:rPr>
              <w:t xml:space="preserve">(3,680 − 3,600) × 12.00 = 960 U</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hours worked   ·   Standard hours allowed (0.050 a case)   ·   Labor efficiency variance   ·   Actual rate an hour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labor variances</w:t>
            </w:r>
          </w:p>
        </w:tc>
      </w:tr>
    </w:tbl>
    <w:p/>
    <w:p>
      <w:pPr>
        <w:spacing w:before="20" w:after="20" w:line="360" w:lineRule="auto"/>
        <w:ind w:left="200"/>
      </w:pPr>
      <w:r>
        <w:rPr>
          <w:sz w:val="19"/>
          <w:szCs w:val="19"/>
        </w:rPr>
        <w:t xml:space="preserve">Complete the blank rows, then do the same for the Tahini division.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467"/>
        <w:gridCol w:w="290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sesame and labor in the Tahini division</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Tahini &amp; Spreads, same month</w:t>
            </w:r>
          </w:p>
        </w:tc>
        <w:tc>
          <w:tcPr>
            <w:tcW w:type="pct" w:w="1285"/>
            <w:shd w:fill="353A7C" w:val="clear"/>
            <w:tcMar>
              <w:top w:type="dxa" w:w="50"/>
              <w:left w:type="dxa" w:w="110"/>
              <w:bottom w:type="dxa" w:w="50"/>
              <w:right w:type="dxa" w:w="110"/>
            </w:tcMar>
          </w:tcPr>
          <w:p>
            <w:pPr>
              <w:spacing w:before="30" w:after="30"/>
            </w:pPr>
            <w:r>
              <w:rPr>
                <w:b/>
                <w:bCs/>
                <w:color w:val="FFFFFF"/>
                <w:sz w:val="15"/>
                <w:szCs w:val="15"/>
              </w:rPr>
              <w:t xml:space="preserve">Standard</w:t>
            </w:r>
          </w:p>
        </w:tc>
        <w:tc>
          <w:tcPr>
            <w:tcW w:type="pct" w:w="1515"/>
            <w:shd w:fill="353A7C" w:val="clear"/>
            <w:tcMar>
              <w:top w:type="dxa" w:w="50"/>
              <w:left w:type="dxa" w:w="110"/>
              <w:bottom w:type="dxa" w:w="50"/>
              <w:right w:type="dxa" w:w="110"/>
            </w:tcMar>
          </w:tcPr>
          <w:p>
            <w:pPr>
              <w:spacing w:before="30" w:after="30"/>
            </w:pPr>
            <w:r>
              <w:rPr>
                <w:b/>
                <w:bCs/>
                <w:color w:val="FFFFFF"/>
                <w:sz w:val="15"/>
                <w:szCs w:val="15"/>
              </w:rPr>
              <w:t xml:space="preserve">Actual</w:t>
            </w:r>
          </w:p>
        </w:tc>
      </w:tr>
      <w:tr>
        <w:tc>
          <w:tcPr>
            <w:tcW w:type="pct" w:w="2200"/>
            <w:tcMar>
              <w:top w:type="dxa" w:w="50"/>
              <w:left w:type="dxa" w:w="110"/>
              <w:bottom w:type="dxa" w:w="50"/>
              <w:right w:type="dxa" w:w="110"/>
            </w:tcMar>
          </w:tcPr>
          <w:p>
            <w:pPr>
              <w:spacing w:before="28" w:after="28"/>
            </w:pPr>
            <w:r>
              <w:rPr>
                <w:sz w:val="15"/>
                <w:szCs w:val="15"/>
              </w:rPr>
              <w:t xml:space="preserve">Jars produced</w:t>
            </w:r>
          </w:p>
        </w:tc>
        <w:tc>
          <w:tcPr>
            <w:tcW w:type="pct" w:w="1285"/>
            <w:tcMar>
              <w:top w:type="dxa" w:w="50"/>
              <w:left w:type="dxa" w:w="110"/>
              <w:bottom w:type="dxa" w:w="50"/>
              <w:right w:type="dxa" w:w="110"/>
            </w:tcMar>
          </w:tcPr>
          <w:p>
            <w:pPr>
              <w:spacing w:before="28" w:after="28"/>
            </w:pPr>
            <w:r>
              <w:rPr>
                <w:sz w:val="15"/>
                <w:szCs w:val="15"/>
              </w:rPr>
              <w:t xml:space="preserve">110,000</w:t>
            </w:r>
          </w:p>
        </w:tc>
        <w:tc>
          <w:tcPr>
            <w:tcW w:type="pct" w:w="1515"/>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Sesame: standard 0.50 kg at $2.50</w:t>
            </w:r>
          </w:p>
        </w:tc>
        <w:tc>
          <w:tcPr>
            <w:tcW w:type="pct" w:w="1285"/>
            <w:shd w:fill="FBFAF6" w:val="clear"/>
            <w:tcMar>
              <w:top w:type="dxa" w:w="50"/>
              <w:left w:type="dxa" w:w="110"/>
              <w:bottom w:type="dxa" w:w="50"/>
              <w:right w:type="dxa" w:w="110"/>
            </w:tcMar>
          </w:tcPr>
          <w:p>
            <w:pPr>
              <w:spacing w:before="28" w:after="28"/>
            </w:pPr>
            <w:r>
              <w:rPr>
                <w:sz w:val="15"/>
                <w:szCs w:val="15"/>
              </w:rPr>
              <w:t xml:space="preserve">55,000 kg allowed</w:t>
            </w:r>
          </w:p>
        </w:tc>
        <w:tc>
          <w:tcPr>
            <w:tcW w:type="pct" w:w="1515"/>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200"/>
            <w:tcMar>
              <w:top w:type="dxa" w:w="50"/>
              <w:left w:type="dxa" w:w="110"/>
              <w:bottom w:type="dxa" w:w="50"/>
              <w:right w:type="dxa" w:w="110"/>
            </w:tcMar>
          </w:tcPr>
          <w:p>
            <w:pPr>
              <w:spacing w:before="28" w:after="28"/>
            </w:pPr>
            <w:r>
              <w:rPr>
                <w:sz w:val="15"/>
                <w:szCs w:val="15"/>
              </w:rPr>
              <w:t xml:space="preserve">Sesame price variance</w:t>
            </w:r>
          </w:p>
        </w:tc>
        <w:tc>
          <w:tcPr>
            <w:tcW w:type="pct" w:w="1285"/>
            <w:tcMar>
              <w:top w:type="dxa" w:w="50"/>
              <w:left w:type="dxa" w:w="110"/>
              <w:bottom w:type="dxa" w:w="50"/>
              <w:right w:type="dxa" w:w="110"/>
            </w:tcMar>
          </w:tcPr>
          <w:p>
            <w:pPr>
              <w:spacing w:before="28" w:after="28"/>
            </w:pPr>
            <w:r>
              <w:rPr>
                <w:sz w:val="15"/>
                <w:szCs w:val="15"/>
              </w:rPr>
              <w:t xml:space="preserve">________</w:t>
            </w:r>
          </w:p>
        </w:tc>
        <w:tc>
          <w:tcPr>
            <w:tcW w:type="pct" w:w="1515"/>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Sesame usage variance</w:t>
            </w:r>
          </w:p>
        </w:tc>
        <w:tc>
          <w:tcPr>
            <w:tcW w:type="pct" w:w="1285"/>
            <w:shd w:fill="FBFAF6" w:val="clear"/>
            <w:tcMar>
              <w:top w:type="dxa" w:w="50"/>
              <w:left w:type="dxa" w:w="110"/>
              <w:bottom w:type="dxa" w:w="50"/>
              <w:right w:type="dxa" w:w="110"/>
            </w:tcMar>
          </w:tcPr>
          <w:p>
            <w:pPr>
              <w:spacing w:before="28" w:after="28"/>
            </w:pPr>
            <w:r>
              <w:rPr>
                <w:sz w:val="15"/>
                <w:szCs w:val="15"/>
              </w:rPr>
              <w:t xml:space="preserve">________</w:t>
            </w:r>
          </w:p>
        </w:tc>
        <w:tc>
          <w:tcPr>
            <w:tcW w:type="pct" w:w="1515"/>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Labor: standard 0.012 h at $15.00</w:t>
            </w:r>
          </w:p>
        </w:tc>
        <w:tc>
          <w:tcPr>
            <w:tcW w:type="pct" w:w="1285"/>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515"/>
            <w:tcMar>
              <w:top w:type="dxa" w:w="50"/>
              <w:left w:type="dxa" w:w="110"/>
              <w:bottom w:type="dxa" w:w="50"/>
              <w:right w:type="dxa" w:w="110"/>
            </w:tcMar>
          </w:tcPr>
          <w:p>
            <w:pPr>
              <w:spacing w:before="28" w:after="28"/>
            </w:pPr>
            <w:r>
              <w:rPr>
                <w:sz w:val="15"/>
                <w:szCs w:val="15"/>
              </w:rPr>
              <w:t xml:space="preserve">actual 1,350 h at $15.20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Labor rate variance</w:t>
            </w:r>
          </w:p>
        </w:tc>
        <w:tc>
          <w:tcPr>
            <w:tcW w:type="pct" w:w="1285"/>
            <w:shd w:fill="FBFAF6" w:val="clear"/>
            <w:tcMar>
              <w:top w:type="dxa" w:w="50"/>
              <w:left w:type="dxa" w:w="110"/>
              <w:bottom w:type="dxa" w:w="50"/>
              <w:right w:type="dxa" w:w="110"/>
            </w:tcMar>
          </w:tcPr>
          <w:p>
            <w:pPr>
              <w:spacing w:before="28" w:after="28"/>
            </w:pPr>
            <w:r>
              <w:rPr>
                <w:sz w:val="15"/>
                <w:szCs w:val="15"/>
              </w:rPr>
              <w:t xml:space="preserve">________</w:t>
            </w:r>
          </w:p>
        </w:tc>
        <w:tc>
          <w:tcPr>
            <w:tcW w:type="pct" w:w="1515"/>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Labor efficiency variance</w:t>
            </w:r>
          </w:p>
        </w:tc>
        <w:tc>
          <w:tcPr>
            <w:tcW w:type="pct" w:w="1285"/>
            <w:tcMar>
              <w:top w:type="dxa" w:w="50"/>
              <w:left w:type="dxa" w:w="110"/>
              <w:bottom w:type="dxa" w:w="50"/>
              <w:right w:type="dxa" w:w="110"/>
            </w:tcMar>
          </w:tcPr>
          <w:p>
            <w:pPr>
              <w:spacing w:before="28" w:after="28"/>
            </w:pPr>
            <w:r>
              <w:rPr>
                <w:sz w:val="15"/>
                <w:szCs w:val="15"/>
              </w:rPr>
              <w:t xml:space="preserve">________</w:t>
            </w:r>
          </w:p>
        </w:tc>
        <w:tc>
          <w:tcPr>
            <w:tcW w:type="pct" w:w="1515"/>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56,200 kg at $2.45   ·   actual 1,350 h at $15.20   ·   1,320 h allowed</w:t>
            </w:r>
          </w:p>
        </w:tc>
      </w:tr>
    </w:tbl>
    <w:p/>
    <w:p>
      <w:pPr>
        <w:spacing w:before="44" w:after="14"/>
      </w:pPr>
      <w:r>
        <w:rPr>
          <w:b/>
          <w:bCs/>
          <w:color w:val="353A7C"/>
          <w:sz w:val="18"/>
          <w:szCs w:val="18"/>
        </w:rPr>
        <w:t xml:space="preserve">Summary 1</w:t>
      </w:r>
      <w:r>
        <w:rPr>
          <w:color w:val="6B7280"/>
          <w:sz w:val="16"/>
          <w:szCs w:val="16"/>
        </w:rPr>
        <w:t xml:space="preserve">      gaps 6–7</w:t>
      </w:r>
    </w:p>
    <w:p>
      <w:pPr>
        <w:spacing w:before="20" w:after="20" w:line="360" w:lineRule="auto"/>
        <w:ind w:left="200"/>
      </w:pPr>
      <w:r>
        <w:rPr>
          <w:sz w:val="19"/>
          <w:szCs w:val="19"/>
        </w:rPr>
        <w:t xml:space="preserve">The Tahini figures show a pattern worth noticing: the sesame price variance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while the usage variance is unfavorable. </w:t>
      </w:r>
      <w:r>
        <w:rPr>
          <w:sz w:val="19"/>
          <w:szCs w:val="19"/>
        </w:rPr>
        <w:t xml:space="preserve">Section 12.5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why the two often move together.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explains   ·   favorable   ·   pattern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direct labor rate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معدل أجر العمل المباشر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direct labor efficiency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كفاءة العمل المباشر</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12.4  Direct labor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Standard hours allowed (0.050 a case)</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1,320 h allowed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Actual hours worked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Actual rate an hour</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explains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actual 56,200 kg at $2.45</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Tahini figures show a pattern worth noticing: the sesame price variance is favorable while the usage variance is unfavorable. Section 12.5 explains why the two often move together.</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12.5  Responsibility and linked variances</w:t>
            </w:r>
          </w:p>
          <w:p>
            <w:pPr>
              <w:spacing w:before="0" w:after="46"/>
            </w:pPr>
            <w:r>
              <w:rPr>
                <w:color w:val="E8EAF6"/>
                <w:sz w:val="16"/>
                <w:szCs w:val="16"/>
              </w:rPr>
              <w:t xml:space="preserve">Chapter 12 · section 12.5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A variance is useful only if someone can act on it.</w:t>
      </w:r>
    </w:p>
    <w:p>
      <w:pPr>
        <w:spacing w:before="44" w:after="10"/>
      </w:pPr>
      <w:r>
        <w:rPr>
          <w:b/>
          <w:bCs/>
          <w:color w:val="353A7C"/>
          <w:sz w:val="18"/>
          <w:szCs w:val="18"/>
        </w:rPr>
        <w:t xml:space="preserve">Who owns each variance, and why it arises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27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274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Labor rate   ·   Labor efficiency   ·   Material usage</w:t>
            </w:r>
          </w:p>
        </w:tc>
      </w:tr>
    </w:tbl>
    <w:p/>
    <w:p>
      <w:pPr>
        <w:spacing w:before="44" w:after="14"/>
      </w:pPr>
      <w:r>
        <w:rPr>
          <w:b/>
          <w:bCs/>
          <w:color w:val="353A7C"/>
          <w:sz w:val="18"/>
          <w:szCs w:val="18"/>
        </w:rPr>
        <w:t xml:space="preserve">Summary 1</w:t>
      </w:r>
      <w:r>
        <w:rPr>
          <w:color w:val="6B7280"/>
          <w:sz w:val="16"/>
          <w:szCs w:val="16"/>
        </w:rPr>
        <w:t xml:space="preserve">      gaps 3–4</w:t>
      </w:r>
    </w:p>
    <w:p>
      <w:pPr>
        <w:spacing w:before="20" w:after="20" w:line="360" w:lineRule="auto"/>
        <w:ind w:left="200"/>
      </w:pPr>
      <w:r>
        <w:rPr>
          <w:sz w:val="19"/>
          <w:szCs w:val="19"/>
        </w:rPr>
        <w:t xml:space="preserve">Ownership is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point, not a rule. </w:t>
      </w:r>
      <w:r>
        <w:rPr>
          <w:sz w:val="19"/>
          <w:szCs w:val="19"/>
        </w:rPr>
        <w:t xml:space="preserve">If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buys cheaper, lower-grade concentrate, the price variance is favorable and the usage variance unfavorable, and the plant manager is not to blame.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decision   ·   purchasing   ·   starting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Decisions that move two variances at once</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Decision</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First effect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Likely second effect</w:t>
            </w:r>
          </w:p>
        </w:tc>
      </w:tr>
      <w:tr>
        <w:tc>
          <w:tcPr>
            <w:tcW w:type="pct" w:w="2042"/>
            <w:tcMar>
              <w:top w:type="dxa" w:w="50"/>
              <w:left w:type="dxa" w:w="110"/>
              <w:bottom w:type="dxa" w:w="50"/>
              <w:right w:type="dxa" w:w="110"/>
            </w:tcMar>
          </w:tcPr>
          <w:p>
            <w:pPr>
              <w:spacing w:before="28" w:after="28"/>
            </w:pPr>
            <w:r>
              <w:rPr>
                <w:sz w:val="15"/>
                <w:szCs w:val="15"/>
              </w:rPr>
              <w:t xml:space="preserve">Buying cheaper, lower-grade concentrate</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200"/>
            <w:tcMar>
              <w:top w:type="dxa" w:w="50"/>
              <w:left w:type="dxa" w:w="110"/>
              <w:bottom w:type="dxa" w:w="50"/>
              <w:right w:type="dxa" w:w="110"/>
            </w:tcMar>
          </w:tcPr>
          <w:p>
            <w:pPr>
              <w:spacing w:before="28" w:after="28"/>
            </w:pPr>
            <w:r>
              <w:rPr>
                <w:sz w:val="15"/>
                <w:szCs w:val="15"/>
              </w:rPr>
              <w:t xml:space="preserve">Usage unfavorable: more spillage and rework</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Using less-skilled operators</w:t>
            </w:r>
          </w:p>
        </w:tc>
        <w:tc>
          <w:tcPr>
            <w:tcW w:type="pct" w:w="758"/>
            <w:shd w:fill="FBFAF6" w:val="clear"/>
            <w:tcMar>
              <w:top w:type="dxa" w:w="50"/>
              <w:left w:type="dxa" w:w="110"/>
              <w:bottom w:type="dxa" w:w="50"/>
              <w:right w:type="dxa" w:w="110"/>
            </w:tcMar>
          </w:tcPr>
          <w:p>
            <w:pPr>
              <w:spacing w:before="28" w:after="28"/>
            </w:pPr>
            <w:r>
              <w:rPr>
                <w:sz w:val="15"/>
                <w:szCs w:val="15"/>
              </w:rPr>
              <w:t xml:space="preserve">Rate favorable</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more hours needed</w:t>
            </w:r>
          </w:p>
        </w:tc>
      </w:tr>
      <w:tr>
        <w:tc>
          <w:tcPr>
            <w:tcW w:type="pct" w:w="2042"/>
            <w:tcMar>
              <w:top w:type="dxa" w:w="50"/>
              <w:left w:type="dxa" w:w="110"/>
              <w:bottom w:type="dxa" w:w="50"/>
              <w:right w:type="dxa" w:w="110"/>
            </w:tcMar>
          </w:tcPr>
          <w:p>
            <w:pPr>
              <w:spacing w:before="28" w:after="28"/>
            </w:pPr>
            <w:r>
              <w:rPr>
                <w:sz w:val="15"/>
                <w:szCs w:val="15"/>
              </w:rPr>
              <w:t xml:space="preserve">Rushing a delivery by air</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200"/>
            <w:tcMar>
              <w:top w:type="dxa" w:w="50"/>
              <w:left w:type="dxa" w:w="110"/>
              <w:bottom w:type="dxa" w:w="50"/>
              <w:right w:type="dxa" w:w="110"/>
            </w:tcMar>
          </w:tcPr>
          <w:p>
            <w:pPr>
              <w:spacing w:before="28" w:after="28"/>
            </w:pPr>
            <w:r>
              <w:rPr>
                <w:sz w:val="15"/>
                <w:szCs w:val="15"/>
              </w:rPr>
              <w:t xml:space="preserve">Usage unchanged, but the plant keeps running</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Overtime to meet the summer peak</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200"/>
            <w:shd w:fill="FBFAF6" w:val="clear"/>
            <w:tcMar>
              <w:top w:type="dxa" w:w="50"/>
              <w:left w:type="dxa" w:w="110"/>
              <w:bottom w:type="dxa" w:w="50"/>
              <w:right w:type="dxa" w:w="110"/>
            </w:tcMar>
          </w:tcPr>
          <w:p>
            <w:pPr>
              <w:spacing w:before="28" w:after="28"/>
            </w:pPr>
            <w:r>
              <w:rPr>
                <w:sz w:val="15"/>
                <w:szCs w:val="15"/>
              </w:rPr>
              <w:t xml:space="preserve">Efficiency may improve: experienced staff work the extra hours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Price unfavorable   ·   Efficiency unfavorable   ·   Rate unfavorable   ·   Rate favorable   ·   Price favorable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Read the pair, not the single variance</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A favorable price variance beside an unfavorable usage variance usually points to one decision, not two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results. </w:t>
      </w:r>
      <w:r>
        <w:rPr>
          <w:sz w:val="19"/>
          <w:szCs w:val="19"/>
        </w:rPr>
        <w:t xml:space="preserve">Judging either one alone gives the wrong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starting   ·   conclusion   ·   separate</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12.5  Responsibility and linked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Material usage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Efficiency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Labor rate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Price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starting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Rate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purchasing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separate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Price favorable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conclusion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Ownership is a starting point, not a rule. If purchasing buys cheaper, lower-grade concentrate, the price variance is favorable and the usage variance unfavorable, and the plant manager is not to blame.</w:t>
      </w:r>
    </w:p>
    <w:p>
      <w:pPr>
        <w:spacing w:before="20" w:after="20"/>
        <w:ind w:left="240" w:hanging="240"/>
      </w:pPr>
      <w:r>
        <w:rPr>
          <w:b/>
          <w:bCs/>
          <w:color w:val="353A7C"/>
          <w:sz w:val="15"/>
          <w:szCs w:val="15"/>
        </w:rPr>
        <w:t xml:space="preserve">Summary 2   </w:t>
      </w:r>
      <w:r>
        <w:rPr>
          <w:color w:val="6B7280"/>
          <w:sz w:val="15"/>
          <w:szCs w:val="15"/>
        </w:rPr>
        <w:t xml:space="preserve">A favorable price variance beside an unfavorable usage variance usually points to one decision, not two separate results. Judging either one alone gives the wrong conclusion.</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12.6  Extended Example 12A: the June input variance report</w:t>
            </w:r>
          </w:p>
          <w:p>
            <w:pPr>
              <w:spacing w:before="0" w:after="46"/>
            </w:pPr>
            <w:r>
              <w:rPr>
                <w:color w:val="E8EAF6"/>
                <w:sz w:val="16"/>
                <w:szCs w:val="16"/>
              </w:rPr>
              <w:t xml:space="preserve">Chapter 12 · section 12.6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This example puts the four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into the report the division sends to head office. </w:t>
      </w:r>
      <w:r>
        <w:rPr>
          <w:sz w:val="19"/>
          <w:szCs w:val="19"/>
        </w:rPr>
        <w:t xml:space="preserve">The four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come to $14,568 unfavorable.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identified   ·   together   ·   variances</w:t>
            </w:r>
          </w:p>
        </w:tc>
      </w:tr>
    </w:tbl>
    <w:p/>
    <w:p>
      <w:pPr>
        <w:spacing w:before="44" w:after="10"/>
      </w:pPr>
      <w:r>
        <w:rPr>
          <w:b/>
          <w:bCs/>
          <w:color w:val="353A7C"/>
          <w:sz w:val="18"/>
          <w:szCs w:val="18"/>
        </w:rPr>
        <w:t xml:space="preserve">Extended Example: the June input variance report</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74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746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Concentrate usage   ·   Concentrate price</w:t>
            </w:r>
          </w:p>
        </w:tc>
      </w:tr>
    </w:tbl>
    <w:p/>
    <w:p>
      <w:pPr>
        <w:spacing w:before="44" w:after="10"/>
      </w:pPr>
      <w:r>
        <w:rPr>
          <w:b/>
          <w:bCs/>
          <w:color w:val="353A7C"/>
          <w:sz w:val="18"/>
          <w:szCs w:val="18"/>
        </w:rPr>
        <w:t xml:space="preserve">Variance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5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856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Bottle price variance   ·   Total bottle variance   ·   Bottle usage variance</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6–7</w:t>
      </w:r>
    </w:p>
    <w:p>
      <w:pPr>
        <w:spacing w:before="20" w:after="20" w:line="360" w:lineRule="auto"/>
        <w:ind w:left="200"/>
      </w:pPr>
      <w:r>
        <w:rPr>
          <w:sz w:val="19"/>
          <w:szCs w:val="19"/>
        </w:rPr>
        <w:t xml:space="preserve">Concentrate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report. </w:t>
      </w:r>
      <w:r>
        <w:rPr>
          <w:sz w:val="19"/>
          <w:szCs w:val="19"/>
        </w:rPr>
        <w:t xml:space="preserve">Its price variance is outside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control, but the usage variance and the labor efficiency variance share one cause: the long changeover identified.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dominates   ·   quantity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Concentrate $8,740 + $4,500 = $13,240, the concentrate variance. Labor $368 + $960 = $1,328, the labor variance.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8–10</w:t>
      </w:r>
    </w:p>
    <w:p>
      <w:pPr>
        <w:spacing w:before="20" w:after="20" w:line="360" w:lineRule="auto"/>
        <w:ind w:left="200"/>
      </w:pPr>
      <w:r>
        <w:rPr>
          <w:sz w:val="19"/>
          <w:szCs w:val="19"/>
        </w:rPr>
        <w:t xml:space="preserve">Expect actual quantity, actual price, standard quantity per unit, standard price and the output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standard quantity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first, then the price variance on the actual quantity and the efficiency variance at the standard price.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allowed   ·   Calculate   ·   produced   ·   variances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Oils division: EVOO bottling, one month</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tcMar>
              <w:top w:type="dxa" w:w="50"/>
              <w:left w:type="dxa" w:w="110"/>
              <w:bottom w:type="dxa" w:w="50"/>
              <w:right w:type="dxa" w:w="110"/>
            </w:tcMar>
          </w:tcPr>
          <w:p>
            <w:pPr>
              <w:spacing w:before="28" w:after="28"/>
            </w:pPr>
            <w:r>
              <w:rPr>
                <w:sz w:val="15"/>
                <w:szCs w:val="15"/>
              </w:rPr>
              <w:t xml:space="preserve">150,000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bottles a liter</w:t>
            </w:r>
          </w:p>
        </w:tc>
        <w:tc>
          <w:tcPr>
            <w:tcW w:type="pct" w:w="2400"/>
            <w:shd w:fill="FBFAF6" w:val="clear"/>
            <w:tcMar>
              <w:top w:type="dxa" w:w="50"/>
              <w:left w:type="dxa" w:w="110"/>
              <w:bottom w:type="dxa" w:w="50"/>
              <w:right w:type="dxa" w:w="110"/>
            </w:tcMar>
          </w:tcPr>
          <w:p>
            <w:pPr>
              <w:spacing w:before="28" w:after="28"/>
            </w:pPr>
            <w:r>
              <w:rPr>
                <w:sz w:val="15"/>
                <w:szCs w:val="15"/>
              </w:rPr>
              <w:t xml:space="preserve">150000 per 150,000 liters</w:t>
            </w:r>
          </w:p>
        </w:tc>
      </w:tr>
      <w:tr>
        <w:tc>
          <w:tcPr>
            <w:tcW w:type="pct" w:w="2600"/>
            <w:tcMar>
              <w:top w:type="dxa" w:w="50"/>
              <w:left w:type="dxa" w:w="110"/>
              <w:bottom w:type="dxa" w:w="50"/>
              <w:right w:type="dxa" w:w="110"/>
            </w:tcMar>
          </w:tcPr>
          <w:p>
            <w:pPr>
              <w:spacing w:before="28" w:after="28"/>
            </w:pPr>
            <w:r>
              <w:rPr>
                <w:sz w:val="15"/>
                <w:szCs w:val="15"/>
              </w:rPr>
              <w:t xml:space="preserve">Standard price a bottle</w:t>
            </w:r>
          </w:p>
        </w:tc>
        <w:tc>
          <w:tcPr>
            <w:tcW w:type="pct" w:w="2400"/>
            <w:tcMar>
              <w:top w:type="dxa" w:w="50"/>
              <w:left w:type="dxa" w:w="110"/>
              <w:bottom w:type="dxa" w:w="50"/>
              <w:right w:type="dxa" w:w="110"/>
            </w:tcMar>
          </w:tcPr>
          <w:p>
            <w:pPr>
              <w:spacing w:before="28" w:after="28"/>
            </w:pPr>
            <w:r>
              <w:rPr>
                <w:sz w:val="15"/>
                <w:szCs w:val="15"/>
              </w:rPr>
              <w:t xml:space="preserve">$1.50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shd w:fill="FBFAF6" w:val="clear"/>
            <w:tcMar>
              <w:top w:type="dxa" w:w="50"/>
              <w:left w:type="dxa" w:w="110"/>
              <w:bottom w:type="dxa" w:w="50"/>
              <w:right w:type="dxa" w:w="110"/>
            </w:tcMar>
          </w:tcPr>
          <w:p>
            <w:pPr>
              <w:spacing w:before="28" w:after="28"/>
            </w:pPr>
            <w:r>
              <w:rPr>
                <w:sz w:val="15"/>
                <w:szCs w:val="15"/>
              </w:rPr>
              <w:t xml:space="preserve">152,000</w:t>
            </w:r>
          </w:p>
        </w:tc>
      </w:tr>
      <w:tr>
        <w:tc>
          <w:tcPr>
            <w:tcW w:type="pct" w:w="2600"/>
            <w:tcMar>
              <w:top w:type="dxa" w:w="50"/>
              <w:left w:type="dxa" w:w="110"/>
              <w:bottom w:type="dxa" w:w="50"/>
              <w:right w:type="dxa" w:w="110"/>
            </w:tcMar>
          </w:tcPr>
          <w:p>
            <w:pPr>
              <w:spacing w:before="28" w:after="28"/>
            </w:pPr>
            <w:r>
              <w:rPr>
                <w:sz w:val="15"/>
                <w:szCs w:val="15"/>
              </w:rPr>
              <w:t xml:space="preserve">Actual price a bottle</w:t>
            </w:r>
          </w:p>
        </w:tc>
        <w:tc>
          <w:tcPr>
            <w:tcW w:type="pct" w:w="2400"/>
            <w:tcMar>
              <w:top w:type="dxa" w:w="50"/>
              <w:left w:type="dxa" w:w="110"/>
              <w:bottom w:type="dxa" w:w="50"/>
              <w:right w:type="dxa" w:w="110"/>
            </w:tcMar>
          </w:tcPr>
          <w:p>
            <w:pPr>
              <w:spacing w:before="28" w:after="28"/>
            </w:pPr>
            <w:r>
              <w:rPr>
                <w:sz w:val="15"/>
                <w:szCs w:val="15"/>
              </w:rPr>
              <w:t xml:space="preserve">$1.47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Bottles bought in the month</w:t>
            </w:r>
          </w:p>
        </w:tc>
        <w:tc>
          <w:tcPr>
            <w:tcW w:type="pct" w:w="2400"/>
            <w:shd w:fill="FBFAF6" w:val="clear"/>
            <w:tcMar>
              <w:top w:type="dxa" w:w="50"/>
              <w:left w:type="dxa" w:w="110"/>
              <w:bottom w:type="dxa" w:w="50"/>
              <w:right w:type="dxa" w:w="110"/>
            </w:tcMar>
          </w:tcPr>
          <w:p>
            <w:pPr>
              <w:spacing w:before="28" w:after="28"/>
            </w:pPr>
            <w:r>
              <w:rPr>
                <w:sz w:val="15"/>
                <w:szCs w:val="15"/>
              </w:rPr>
              <w:t xml:space="preserve">160,000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tcMar>
              <w:top w:type="dxa" w:w="50"/>
              <w:left w:type="dxa" w:w="110"/>
              <w:bottom w:type="dxa" w:w="50"/>
              <w:right w:type="dxa" w:w="110"/>
            </w:tcMar>
          </w:tcPr>
          <w:p>
            <w:pPr>
              <w:spacing w:before="28" w:after="28"/>
            </w:pPr>
            <w:r>
              <w:rPr>
                <w:sz w:val="15"/>
                <w:szCs w:val="15"/>
              </w:rPr>
              <w:t xml:space="preserve">0.075</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shd w:fill="FBFAF6" w:val="clear"/>
            <w:tcMar>
              <w:top w:type="dxa" w:w="50"/>
              <w:left w:type="dxa" w:w="110"/>
              <w:bottom w:type="dxa" w:w="50"/>
              <w:right w:type="dxa" w:w="110"/>
            </w:tcMar>
          </w:tcPr>
          <w:p>
            <w:pPr>
              <w:spacing w:before="28" w:after="28"/>
            </w:pPr>
            <w:r>
              <w:rPr>
                <w:sz w:val="15"/>
                <w:szCs w:val="15"/>
              </w:rPr>
              <w:t xml:space="preserve">$12.00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11,500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Actual labor rate</w:t>
            </w:r>
          </w:p>
        </w:tc>
        <w:tc>
          <w:tcPr>
            <w:tcW w:type="pct" w:w="2400"/>
            <w:shd w:fill="FBFAF6" w:val="clear"/>
            <w:tcMar>
              <w:top w:type="dxa" w:w="50"/>
              <w:left w:type="dxa" w:w="110"/>
              <w:bottom w:type="dxa" w:w="50"/>
              <w:right w:type="dxa" w:w="110"/>
            </w:tcMar>
          </w:tcPr>
          <w:p>
            <w:pPr>
              <w:spacing w:before="28" w:after="28"/>
            </w:pPr>
            <w:r>
              <w:rPr>
                <w:sz w:val="15"/>
                <w:szCs w:val="15"/>
              </w:rPr>
              <w:t xml:space="preserve">$12.20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labor rate   ·   Standard labor rate   ·   Standard labor hours a liter   ·   Actual hours worked   ·   Liters bottled   ·   Bottles actually used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Labor rate variance</w:t>
            </w:r>
          </w:p>
        </w:tc>
        <w:tc>
          <w:tcPr>
            <w:tcW w:type="pct" w:w="2600"/>
            <w:tcMar>
              <w:top w:type="dxa" w:w="50"/>
              <w:left w:type="dxa" w:w="110"/>
              <w:bottom w:type="dxa" w:w="50"/>
              <w:right w:type="dxa" w:w="110"/>
            </w:tcMar>
          </w:tcPr>
          <w:p>
            <w:pPr>
              <w:spacing w:before="28" w:after="28"/>
            </w:pPr>
            <w:r>
              <w:rPr>
                <w:sz w:val="15"/>
                <w:szCs w:val="15"/>
              </w:rPr>
              <w:t xml:space="preserve">($12.10 − $12.00) × 3,680 = $368 unfavorable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Labor efficiency variance</w:t>
            </w:r>
          </w:p>
        </w:tc>
        <w:tc>
          <w:tcPr>
            <w:tcW w:type="pct" w:w="2600"/>
            <w:shd w:fill="FBFAF6" w:val="clear"/>
            <w:tcMar>
              <w:top w:type="dxa" w:w="50"/>
              <w:left w:type="dxa" w:w="110"/>
              <w:bottom w:type="dxa" w:w="50"/>
              <w:right w:type="dxa" w:w="110"/>
            </w:tcMar>
          </w:tcPr>
          <w:p>
            <w:pPr>
              <w:spacing w:before="28" w:after="28"/>
            </w:pPr>
            <w:r>
              <w:rPr>
                <w:sz w:val="15"/>
                <w:szCs w:val="15"/>
              </w:rPr>
              <w:t xml:space="preserve">(3,680 − 3,600) × $12.00 = $960 unfavorable</w:t>
            </w:r>
          </w:p>
        </w:tc>
      </w:tr>
      <w:tr>
        <w:tc>
          <w:tcPr>
            <w:tcW w:type="pct" w:w="2400"/>
            <w:tcMar>
              <w:top w:type="dxa" w:w="50"/>
              <w:left w:type="dxa" w:w="110"/>
              <w:bottom w:type="dxa" w:w="50"/>
              <w:right w:type="dxa" w:w="110"/>
            </w:tcMar>
          </w:tcPr>
          <w:p>
            <w:pPr>
              <w:spacing w:before="28" w:after="28"/>
            </w:pPr>
            <w:r>
              <w:rPr>
                <w:sz w:val="15"/>
                <w:szCs w:val="15"/>
              </w:rPr>
              <w:t xml:space="preserve">Tahini sesame price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Tahini sesame usage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2400"/>
            <w:tcMar>
              <w:top w:type="dxa" w:w="50"/>
              <w:left w:type="dxa" w:w="110"/>
              <w:bottom w:type="dxa" w:w="50"/>
              <w:right w:type="dxa" w:w="110"/>
            </w:tcMar>
          </w:tcPr>
          <w:p>
            <w:pPr>
              <w:spacing w:before="28" w:after="28"/>
            </w:pPr>
            <w:r>
              <w:rPr>
                <w:sz w:val="15"/>
                <w:szCs w:val="15"/>
              </w:rPr>
              <w:t xml:space="preserve">Tahini labor rate</w:t>
            </w:r>
          </w:p>
        </w:tc>
        <w:tc>
          <w:tcPr>
            <w:tcW w:type="pct" w:w="2600"/>
            <w:tcMar>
              <w:top w:type="dxa" w:w="50"/>
              <w:left w:type="dxa" w:w="110"/>
              <w:bottom w:type="dxa" w:w="50"/>
              <w:right w:type="dxa" w:w="110"/>
            </w:tcMar>
          </w:tcPr>
          <w:p>
            <w:pPr>
              <w:spacing w:before="28" w:after="28"/>
            </w:pPr>
            <w:r>
              <w:rPr>
                <w:sz w:val="15"/>
                <w:szCs w:val="15"/>
              </w:rPr>
              <w:t xml:space="preserve">($15.20 − $15.00) × 1,350 = $270 unfavorable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Tahini labor efficiency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($2.45 − $2.50) × 56,200 = $2,810 favorable   ·   (56,200 − 55,000) × $2.50 = $3,000 unfavorable   ·   (3,680 − 3,600) × $12.00 = $960 unfavorable   ·   (1,350 − 1,320) × $15.00 = $450 unfavorable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material price variance   ·   direct labor efficiency variance   ·   direct material usage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direct material price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سعر المواد المباشرة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direct material usage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استخدام المواد المباشرة</w:t>
            </w:r>
          </w:p>
        </w:tc>
      </w:tr>
      <w:tr>
        <w:tc>
          <w:tcPr>
            <w:tcW w:type="pct" w:w="2600"/>
            <w:tcMar>
              <w:top w:type="dxa" w:w="50"/>
              <w:left w:type="dxa" w:w="110"/>
              <w:bottom w:type="dxa" w:w="50"/>
              <w:right w:type="dxa" w:w="110"/>
            </w:tcMar>
          </w:tcPr>
          <w:p>
            <w:pPr>
              <w:spacing w:before="26" w:after="26"/>
            </w:pPr>
            <w:r>
              <w:rPr>
                <w:color w:val="232733"/>
                <w:sz w:val="16"/>
                <w:szCs w:val="16"/>
              </w:rPr>
              <w:t xml:space="preserve">direct labor efficiency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كفاءة العمل المباشر</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12.6  Extended Example 12A: the June input variance report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variances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Liters bottled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Bottles actually used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Concentrate usage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Standard labor hours a liter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Bottle price variance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Standard labor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Bottle usage variance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Actual hours worked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dominates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($2.45 − $2.50) × 56,200 = $2,810 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(56,200 − 55,000) × $2.50 = $3,000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(1,350 − 1,320) × $15.00 = $450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Calculate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direct material price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allowed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direct material usage variance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puts the four variances into the report the division sends to head office. The four together come to $14,568 unfavorable.</w:t>
      </w:r>
    </w:p>
    <w:p>
      <w:pPr>
        <w:spacing w:before="20" w:after="20"/>
        <w:ind w:left="240" w:hanging="240"/>
      </w:pPr>
      <w:r>
        <w:rPr>
          <w:b/>
          <w:bCs/>
          <w:color w:val="353A7C"/>
          <w:sz w:val="15"/>
          <w:szCs w:val="15"/>
        </w:rPr>
        <w:t xml:space="preserve">Summary 2   </w:t>
      </w:r>
      <w:r>
        <w:rPr>
          <w:color w:val="6B7280"/>
          <w:sz w:val="15"/>
          <w:szCs w:val="15"/>
        </w:rPr>
        <w:t xml:space="preserve">Concentrate dominates the report. Its price variance is outside the division's control, but the usage variance and the labor efficiency variance share one cause: the long changeover identified.</w:t>
      </w:r>
    </w:p>
    <w:p>
      <w:pPr>
        <w:spacing w:before="20" w:after="20"/>
        <w:ind w:left="240" w:hanging="240"/>
      </w:pPr>
      <w:r>
        <w:rPr>
          <w:b/>
          <w:bCs/>
          <w:color w:val="353A7C"/>
          <w:sz w:val="15"/>
          <w:szCs w:val="15"/>
        </w:rPr>
        <w:t xml:space="preserve">Summary 3   </w:t>
      </w:r>
      <w:r>
        <w:rPr>
          <w:color w:val="6B7280"/>
          <w:sz w:val="15"/>
          <w:szCs w:val="15"/>
        </w:rPr>
        <w:t xml:space="preserve">Expect actual quantity, actual price, standard quantity per unit, standard price and the output produced. Calculate the standard quantity allowed first, then the price variance on the actual quantity and the efficiency variance at the standard price.</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12.1 · Standard costing and why companies use it</w:t>
          </w:r>
        </w:p>
      </w:tc>
      <w:tc>
        <w:tcPr>
          <w:tcW w:type="pct" w:w="1400"/>
          <w:tcMar>
            <w:top w:type="dxa" w:w="-30"/>
            <w:left w:type="dxa" w:w="30"/>
            <w:bottom w:type="dxa" w:w="-30"/>
            <w:right w:type="dxa" w:w="30"/>
          </w:tcMar>
        </w:tcPr>
        <w:p>
          <w:pPr>
            <w:jc w:val="right"/>
          </w:pPr>
          <w:r>
            <w:rPr>
              <w:color w:val="6B7280"/>
              <w:sz w:val="16"/>
              <w:szCs w:val="16"/>
            </w:rPr>
            <w:t xml:space="preserve">Handout 12.1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12.2 · The three-column frame</w:t>
          </w:r>
        </w:p>
      </w:tc>
      <w:tc>
        <w:tcPr>
          <w:tcW w:type="pct" w:w="1400"/>
          <w:tcMar>
            <w:top w:type="dxa" w:w="-30"/>
            <w:left w:type="dxa" w:w="30"/>
            <w:bottom w:type="dxa" w:w="-30"/>
            <w:right w:type="dxa" w:w="30"/>
          </w:tcMar>
        </w:tcPr>
        <w:p>
          <w:pPr>
            <w:jc w:val="right"/>
          </w:pPr>
          <w:r>
            <w:rPr>
              <w:color w:val="6B7280"/>
              <w:sz w:val="16"/>
              <w:szCs w:val="16"/>
            </w:rPr>
            <w:t xml:space="preserve">Handout 12.2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12.3 · Direct material variances</w:t>
          </w:r>
        </w:p>
      </w:tc>
      <w:tc>
        <w:tcPr>
          <w:tcW w:type="pct" w:w="1400"/>
          <w:tcMar>
            <w:top w:type="dxa" w:w="-30"/>
            <w:left w:type="dxa" w:w="30"/>
            <w:bottom w:type="dxa" w:w="-30"/>
            <w:right w:type="dxa" w:w="30"/>
          </w:tcMar>
        </w:tcPr>
        <w:p>
          <w:pPr>
            <w:jc w:val="right"/>
          </w:pPr>
          <w:r>
            <w:rPr>
              <w:color w:val="6B7280"/>
              <w:sz w:val="16"/>
              <w:szCs w:val="16"/>
            </w:rPr>
            <w:t xml:space="preserve">Handout 12.3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12.4 · Direct labor variances</w:t>
          </w:r>
        </w:p>
      </w:tc>
      <w:tc>
        <w:tcPr>
          <w:tcW w:type="pct" w:w="1400"/>
          <w:tcMar>
            <w:top w:type="dxa" w:w="-30"/>
            <w:left w:type="dxa" w:w="30"/>
            <w:bottom w:type="dxa" w:w="-30"/>
            <w:right w:type="dxa" w:w="30"/>
          </w:tcMar>
        </w:tcPr>
        <w:p>
          <w:pPr>
            <w:jc w:val="right"/>
          </w:pPr>
          <w:r>
            <w:rPr>
              <w:color w:val="6B7280"/>
              <w:sz w:val="16"/>
              <w:szCs w:val="16"/>
            </w:rPr>
            <w:t xml:space="preserve">Handout 12.4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12.5 · Responsibility and linked variances</w:t>
          </w:r>
        </w:p>
      </w:tc>
      <w:tc>
        <w:tcPr>
          <w:tcW w:type="pct" w:w="1400"/>
          <w:tcMar>
            <w:top w:type="dxa" w:w="-30"/>
            <w:left w:type="dxa" w:w="30"/>
            <w:bottom w:type="dxa" w:w="-30"/>
            <w:right w:type="dxa" w:w="30"/>
          </w:tcMar>
        </w:tcPr>
        <w:p>
          <w:pPr>
            <w:jc w:val="right"/>
          </w:pPr>
          <w:r>
            <w:rPr>
              <w:color w:val="6B7280"/>
              <w:sz w:val="16"/>
              <w:szCs w:val="16"/>
            </w:rPr>
            <w:t xml:space="preserve">Handout 12.5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12.6 · Extended Example 12A: the June input variance report</w:t>
          </w:r>
        </w:p>
      </w:tc>
      <w:tc>
        <w:tcPr>
          <w:tcW w:type="pct" w:w="1400"/>
          <w:tcMar>
            <w:top w:type="dxa" w:w="-30"/>
            <w:left w:type="dxa" w:w="30"/>
            <w:bottom w:type="dxa" w:w="-30"/>
            <w:right w:type="dxa" w:w="30"/>
          </w:tcMar>
        </w:tcPr>
        <w:p>
          <w:pPr>
            <w:jc w:val="right"/>
          </w:pPr>
          <w:r>
            <w:rPr>
              <w:color w:val="6B7280"/>
              <w:sz w:val="16"/>
              <w:szCs w:val="16"/>
            </w:rPr>
            <w:t xml:space="preserve">Handout 12.6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cd4fe0077490213a9eac56ded6895ec24f99b2eb.png" Type="http://schemas.openxmlformats.org/officeDocument/2006/relationships/image"/><Relationship Id="rId102" Target="media/ae57a8d7e8664f60e969fa0654bb423ff60d64a7.png" Type="http://schemas.openxmlformats.org/officeDocument/2006/relationships/image"/><Relationship Id="rId103" Target="media/1e0a86c86c4d584e3642d23852ed0ceef0f40e2b.png" Type="http://schemas.openxmlformats.org/officeDocument/2006/relationships/image"/><Relationship Id="rId104" Target="media/cc12b378ae9fe4fe88cabbe7bf0dfa70b399abf4.png" Type="http://schemas.openxmlformats.org/officeDocument/2006/relationships/image"/><Relationship Id="rId105" Target="media/b0305983bbe2d5541c76a565055ef26483a471e9.png" Type="http://schemas.openxmlformats.org/officeDocument/2006/relationships/image"/><Relationship Id="rId106" Target="media/c359f8ed54bffa8bcb22b8458c3658cd9853a7d2.png" Type="http://schemas.openxmlformats.org/officeDocument/2006/relationships/image"/><Relationship Id="rId107" Target="media/577b3abe4bd8d227bfa8dd0cc27a6c5312564f4c.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12</dc:title>
  <dc:subject>Summary handouts</dc:subject>
  <cp:category>Student Book</cp:category>
</cp:coreProperties>
</file>