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472"/>
        <w:gridCol w:w="1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180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99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1808"/>
            <w:tcMar>
              <w:top w:type="dxa" w:w="50"/>
              <w:left w:type="dxa" w:w="110"/>
              <w:bottom w:type="dxa" w:w="50"/>
              <w:right w:type="dxa" w:w="110"/>
            </w:tcMar>
          </w:tcPr>
          <w:p>
            <w:pPr>
              <w:spacing w:before="28" w:after="28"/>
            </w:pPr>
            <w:r>
              <w:rPr>
                <w:sz w:val="15"/>
                <w:szCs w:val="15"/>
              </w:rPr>
              <w:t xml:space="preserve">Profit center</w:t>
            </w:r>
          </w:p>
        </w:tc>
        <w:tc>
          <w:tcPr>
            <w:tcW w:type="pct" w:w="992"/>
            <w:tcMar>
              <w:top w:type="dxa" w:w="50"/>
              <w:left w:type="dxa" w:w="110"/>
              <w:bottom w:type="dxa" w:w="50"/>
              <w:right w:type="dxa" w:w="110"/>
            </w:tcMar>
          </w:tcPr>
          <w:p>
            <w:pPr>
              <w:spacing w:before="28" w:after="28"/>
            </w:pPr>
            <w:r>
              <w:rPr>
                <w:sz w:val="15"/>
                <w:szCs w:val="15"/>
              </w:rPr>
              <w:t xml:space="preserve">Levant Distribution</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1808"/>
            <w:shd w:fill="FBFAF6" w:val="clear"/>
            <w:tcMar>
              <w:top w:type="dxa" w:w="50"/>
              <w:left w:type="dxa" w:w="110"/>
              <w:bottom w:type="dxa" w:w="50"/>
              <w:right w:type="dxa" w:w="110"/>
            </w:tcMar>
          </w:tcPr>
          <w:p>
            <w:pPr>
              <w:spacing w:before="28" w:after="28"/>
            </w:pPr>
            <w:r>
              <w:rPr>
                <w:sz w:val="15"/>
                <w:szCs w:val="15"/>
              </w:rPr>
              <w:t xml:space="preserve">Cost center</w:t>
            </w:r>
          </w:p>
        </w:tc>
        <w:tc>
          <w:tcPr>
            <w:tcW w:type="pct" w:w="99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180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9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1808"/>
            <w:shd w:fill="FBFAF6" w:val="clear"/>
            <w:tcMar>
              <w:top w:type="dxa" w:w="50"/>
              <w:left w:type="dxa" w:w="110"/>
              <w:bottom w:type="dxa" w:w="50"/>
              <w:right w:type="dxa" w:w="110"/>
            </w:tcMar>
          </w:tcPr>
          <w:p>
            <w:pPr>
              <w:spacing w:before="28" w:after="28"/>
            </w:pPr>
            <w:r>
              <w:rPr>
                <w:sz w:val="15"/>
                <w:szCs w:val="15"/>
              </w:rPr>
              <w:t xml:space="preserve">Investment center</w:t>
            </w:r>
          </w:p>
        </w:tc>
        <w:tc>
          <w:tcPr>
            <w:tcW w:type="pct" w:w="99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1808"/>
            <w:tcMar>
              <w:top w:type="dxa" w:w="50"/>
              <w:left w:type="dxa" w:w="110"/>
              <w:bottom w:type="dxa" w:w="50"/>
              <w:right w:type="dxa" w:w="110"/>
            </w:tcMar>
          </w:tcPr>
          <w:p>
            <w:pPr>
              <w:spacing w:before="28" w:after="28"/>
            </w:pPr>
            <w:r>
              <w:rPr>
                <w:sz w:val="15"/>
                <w:szCs w:val="15"/>
              </w:rPr>
              <w:t xml:space="preserve">No center: the charge is not controllable</w:t>
            </w:r>
          </w:p>
        </w:tc>
        <w:tc>
          <w:tcPr>
            <w:tcW w:type="pct" w:w="992"/>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Any division's allocated head-office cost   ·   Revenue center</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At Orontes the tahini plant is a cost center, because the sales team decides what to sell and at what price. </w:t>
      </w:r>
      <w:r>
        <w:rPr>
          <w:sz w:val="19"/>
          <w:szCs w:val="19"/>
        </w:rPr>
        <w:t xml:space="preserve">Levant Distribution is a profit center, because its manager sets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investment center, because its manager decides on new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   ·   equipment   ·   delivery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7–12</w:t>
      </w:r>
    </w:p>
    <w:p>
      <w:pPr>
        <w:spacing w:before="20" w:after="20" w:line="360" w:lineRule="auto"/>
        <w:ind w:left="200"/>
      </w:pPr>
      <w:r>
        <w:rPr>
          <w:sz w:val="19"/>
          <w:szCs w:val="19"/>
        </w:rPr>
        <w:t xml:space="preserve">Calling a unit a profit center does not give 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 prices. </w:t>
      </w:r>
      <w:r>
        <w:rPr>
          <w:sz w:val="19"/>
          <w:szCs w:val="19"/>
        </w:rPr>
        <w:t xml:space="preserve">If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   ·   control   ·   choice   ·   however   ·   misleading   ·   behavior   ·   question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cost center   ·   common cost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 division's allocated head-office 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misleading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contribution format has three margins,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variable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controllable margin then deducts the fixed costs the manager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traceable to the division,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second   ·   throughout   ·   answering   ·   report   ·   revenue   ·   change   ·   supervision   ·   question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20" w:after="20" w:line="360" w:lineRule="auto"/>
        <w:ind w:left="200"/>
      </w:pPr>
      <w:r>
        <w:rPr>
          <w:sz w:val="19"/>
          <w:szCs w:val="19"/>
        </w:rPr>
        <w:t xml:space="preserve">Beverages earns a segment margin of $3,180,000, the figure, and the three together earn $5,020,000.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41"/>
        <w:gridCol w:w="1658"/>
        <w:gridCol w:w="1515"/>
        <w:gridCol w:w="1529"/>
        <w:gridCol w:w="1658"/>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segment report for 2028</w:t>
            </w:r>
          </w:p>
        </w:tc>
      </w:tr>
      <w:tr>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Orontes 2028 (USD)</w:t>
            </w:r>
          </w:p>
        </w:tc>
        <w:tc>
          <w:tcPr>
            <w:tcW w:type="pct" w:w="863"/>
            <w:shd w:fill="353A7C" w:val="clear"/>
            <w:tcMar>
              <w:top w:type="dxa" w:w="50"/>
              <w:left w:type="dxa" w:w="110"/>
              <w:bottom w:type="dxa" w:w="50"/>
              <w:right w:type="dxa" w:w="110"/>
            </w:tcMar>
          </w:tcPr>
          <w:p>
            <w:pPr>
              <w:spacing w:before="30" w:after="30"/>
            </w:pPr>
            <w:r>
              <w:rPr>
                <w:b/>
                <w:bCs/>
                <w:color w:val="FFFFFF"/>
                <w:sz w:val="15"/>
                <w:szCs w:val="15"/>
              </w:rPr>
              <w:t xml:space="preserve">Beverages</w:t>
            </w:r>
          </w:p>
        </w:tc>
        <w:tc>
          <w:tcPr>
            <w:tcW w:type="pct" w:w="789"/>
            <w:shd w:fill="353A7C" w:val="clear"/>
            <w:tcMar>
              <w:top w:type="dxa" w:w="50"/>
              <w:left w:type="dxa" w:w="110"/>
              <w:bottom w:type="dxa" w:w="50"/>
              <w:right w:type="dxa" w:w="110"/>
            </w:tcMar>
          </w:tcPr>
          <w:p>
            <w:pPr>
              <w:spacing w:before="30" w:after="30"/>
            </w:pPr>
            <w:r>
              <w:rPr>
                <w:b/>
                <w:bCs/>
                <w:color w:val="FFFFFF"/>
                <w:sz w:val="15"/>
                <w:szCs w:val="15"/>
              </w:rPr>
              <w:t xml:space="preserve">Oils</w:t>
            </w:r>
          </w:p>
        </w:tc>
        <w:tc>
          <w:tcPr>
            <w:tcW w:type="pct" w:w="796"/>
            <w:shd w:fill="353A7C" w:val="clear"/>
            <w:tcMar>
              <w:top w:type="dxa" w:w="50"/>
              <w:left w:type="dxa" w:w="110"/>
              <w:bottom w:type="dxa" w:w="50"/>
              <w:right w:type="dxa" w:w="110"/>
            </w:tcMar>
          </w:tcPr>
          <w:p>
            <w:pPr>
              <w:spacing w:before="30" w:after="30"/>
            </w:pPr>
            <w:r>
              <w:rPr>
                <w:b/>
                <w:bCs/>
                <w:color w:val="FFFFFF"/>
                <w:sz w:val="15"/>
                <w:szCs w:val="15"/>
              </w:rPr>
              <w:t xml:space="preserve">Tahini &amp; Spreads</w:t>
            </w:r>
          </w:p>
        </w:tc>
        <w:tc>
          <w:tcPr>
            <w:tcW w:type="pct" w:w="863"/>
            <w:shd w:fill="353A7C" w:val="clear"/>
            <w:tcMar>
              <w:top w:type="dxa" w:w="50"/>
              <w:left w:type="dxa" w:w="110"/>
              <w:bottom w:type="dxa" w:w="50"/>
              <w:right w:type="dxa" w:w="110"/>
            </w:tcMar>
          </w:tcPr>
          <w:p>
            <w:pPr>
              <w:spacing w:before="30" w:after="30"/>
            </w:pPr>
            <w:r>
              <w:rPr>
                <w:b/>
                <w:bCs/>
                <w:color w:val="FFFFFF"/>
                <w:sz w:val="15"/>
                <w:szCs w:val="15"/>
              </w:rPr>
              <w:t xml:space="preserve">Company</w:t>
            </w:r>
          </w:p>
        </w:tc>
      </w:tr>
      <w:tr>
        <w:tc>
          <w:tcPr>
            <w:tcW w:type="pct" w:w="1688"/>
            <w:tcMar>
              <w:top w:type="dxa" w:w="50"/>
              <w:left w:type="dxa" w:w="110"/>
              <w:bottom w:type="dxa" w:w="50"/>
              <w:right w:type="dxa" w:w="110"/>
            </w:tcMar>
          </w:tcPr>
          <w:p>
            <w:pPr>
              <w:spacing w:before="28" w:after="28"/>
            </w:pPr>
            <w:r>
              <w:rPr>
                <w:sz w:val="15"/>
                <w:szCs w:val="15"/>
              </w:rPr>
              <w:t xml:space="preserve">Revenue</w:t>
            </w:r>
          </w:p>
        </w:tc>
        <w:tc>
          <w:tcPr>
            <w:tcW w:type="pct" w:w="863"/>
            <w:tcMar>
              <w:top w:type="dxa" w:w="50"/>
              <w:left w:type="dxa" w:w="110"/>
              <w:bottom w:type="dxa" w:w="50"/>
              <w:right w:type="dxa" w:w="110"/>
            </w:tcMar>
          </w:tcPr>
          <w:p>
            <w:pPr>
              <w:spacing w:before="28" w:after="28"/>
            </w:pPr>
            <w:r>
              <w:rPr>
                <w:sz w:val="15"/>
                <w:szCs w:val="15"/>
              </w:rPr>
              <w:t xml:space="preserve">18,000,000</w:t>
            </w:r>
          </w:p>
        </w:tc>
        <w:tc>
          <w:tcPr>
            <w:tcW w:type="pct" w:w="789"/>
            <w:tcMar>
              <w:top w:type="dxa" w:w="50"/>
              <w:left w:type="dxa" w:w="110"/>
              <w:bottom w:type="dxa" w:w="50"/>
              <w:right w:type="dxa" w:w="110"/>
            </w:tcMar>
          </w:tcPr>
          <w:p>
            <w:pPr>
              <w:spacing w:before="28" w:after="28"/>
            </w:pPr>
            <w:r>
              <w:rPr>
                <w:sz w:val="15"/>
                <w:szCs w:val="15"/>
              </w:rPr>
              <w:t xml:space="preserve">9,000,000</w:t>
            </w:r>
          </w:p>
        </w:tc>
        <w:tc>
          <w:tcPr>
            <w:tcW w:type="pct" w:w="796"/>
            <w:tcMar>
              <w:top w:type="dxa" w:w="50"/>
              <w:left w:type="dxa" w:w="110"/>
              <w:bottom w:type="dxa" w:w="50"/>
              <w:right w:type="dxa" w:w="110"/>
            </w:tcMar>
          </w:tcPr>
          <w:p>
            <w:pPr>
              <w:spacing w:before="28" w:after="28"/>
            </w:pPr>
            <w:r>
              <w:rPr>
                <w:sz w:val="15"/>
                <w:szCs w:val="15"/>
              </w:rPr>
              <w:t xml:space="preserve">5,250,000</w:t>
            </w:r>
          </w:p>
        </w:tc>
        <w:tc>
          <w:tcPr>
            <w:tcW w:type="pct" w:w="863"/>
            <w:tcMar>
              <w:top w:type="dxa" w:w="50"/>
              <w:left w:type="dxa" w:w="110"/>
              <w:bottom w:type="dxa" w:w="50"/>
              <w:right w:type="dxa" w:w="110"/>
            </w:tcMar>
          </w:tcPr>
          <w:p>
            <w:pPr>
              <w:spacing w:before="28" w:after="28"/>
            </w:pPr>
            <w:r>
              <w:rPr>
                <w:sz w:val="15"/>
                <w:szCs w:val="15"/>
              </w:rPr>
              <w:t xml:space="preserve">32,250,000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Variable costs</w:t>
            </w:r>
          </w:p>
        </w:tc>
        <w:tc>
          <w:tcPr>
            <w:tcW w:type="pct" w:w="863"/>
            <w:shd w:fill="FBFAF6" w:val="clear"/>
            <w:tcMar>
              <w:top w:type="dxa" w:w="50"/>
              <w:left w:type="dxa" w:w="110"/>
              <w:bottom w:type="dxa" w:w="50"/>
              <w:right w:type="dxa" w:w="110"/>
            </w:tcMar>
          </w:tcPr>
          <w:p>
            <w:pPr>
              <w:spacing w:before="28" w:after="28"/>
            </w:pPr>
            <w:r>
              <w:rPr>
                <w:sz w:val="15"/>
                <w:szCs w:val="15"/>
              </w:rPr>
              <w:t xml:space="preserve">(10,620,000)</w:t>
            </w:r>
          </w:p>
        </w:tc>
        <w:tc>
          <w:tcPr>
            <w:tcW w:type="pct" w:w="789"/>
            <w:shd w:fill="FBFAF6" w:val="clear"/>
            <w:tcMar>
              <w:top w:type="dxa" w:w="50"/>
              <w:left w:type="dxa" w:w="110"/>
              <w:bottom w:type="dxa" w:w="50"/>
              <w:right w:type="dxa" w:w="110"/>
            </w:tcMar>
          </w:tcPr>
          <w:p>
            <w:pPr>
              <w:spacing w:before="28" w:after="28"/>
            </w:pPr>
            <w:r>
              <w:rPr>
                <w:sz w:val="15"/>
                <w:szCs w:val="15"/>
              </w:rPr>
              <w:t xml:space="preserve">(6,000,000)</w:t>
            </w:r>
          </w:p>
        </w:tc>
        <w:tc>
          <w:tcPr>
            <w:tcW w:type="pct" w:w="796"/>
            <w:shd w:fill="FBFAF6" w:val="clear"/>
            <w:tcMar>
              <w:top w:type="dxa" w:w="50"/>
              <w:left w:type="dxa" w:w="110"/>
              <w:bottom w:type="dxa" w:w="50"/>
              <w:right w:type="dxa" w:w="110"/>
            </w:tcMar>
          </w:tcPr>
          <w:p>
            <w:pPr>
              <w:spacing w:before="28" w:after="28"/>
            </w:pPr>
            <w:r>
              <w:rPr>
                <w:sz w:val="15"/>
                <w:szCs w:val="15"/>
              </w:rPr>
              <w:t xml:space="preserve">(3,150,000)</w:t>
            </w:r>
          </w:p>
        </w:tc>
        <w:tc>
          <w:tcPr>
            <w:tcW w:type="pct" w:w="863"/>
            <w:shd w:fill="FBFAF6" w:val="clear"/>
            <w:tcMar>
              <w:top w:type="dxa" w:w="50"/>
              <w:left w:type="dxa" w:w="110"/>
              <w:bottom w:type="dxa" w:w="50"/>
              <w:right w:type="dxa" w:w="110"/>
            </w:tcMar>
          </w:tcPr>
          <w:p>
            <w:pPr>
              <w:spacing w:before="28" w:after="28"/>
            </w:pPr>
            <w:r>
              <w:rPr>
                <w:sz w:val="15"/>
                <w:szCs w:val="15"/>
              </w:rPr>
              <w:t xml:space="preserve">(19,770,000)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63"/>
            <w:tcMar>
              <w:top w:type="dxa" w:w="50"/>
              <w:left w:type="dxa" w:w="110"/>
              <w:bottom w:type="dxa" w:w="50"/>
              <w:right w:type="dxa" w:w="110"/>
            </w:tcMar>
          </w:tcPr>
          <w:p>
            <w:pPr>
              <w:spacing w:before="28" w:after="28"/>
            </w:pPr>
            <w:r>
              <w:rPr>
                <w:sz w:val="15"/>
                <w:szCs w:val="15"/>
              </w:rPr>
              <w:t xml:space="preserve">7,380,000</w:t>
            </w:r>
          </w:p>
        </w:tc>
        <w:tc>
          <w:tcPr>
            <w:tcW w:type="pct" w:w="789"/>
            <w:tcMar>
              <w:top w:type="dxa" w:w="50"/>
              <w:left w:type="dxa" w:w="110"/>
              <w:bottom w:type="dxa" w:w="50"/>
              <w:right w:type="dxa" w:w="110"/>
            </w:tcMar>
          </w:tcPr>
          <w:p>
            <w:pPr>
              <w:spacing w:before="28" w:after="28"/>
            </w:pPr>
            <w:r>
              <w:rPr>
                <w:sz w:val="15"/>
                <w:szCs w:val="15"/>
              </w:rPr>
              <w:t xml:space="preserve">3,000,000</w:t>
            </w:r>
          </w:p>
        </w:tc>
        <w:tc>
          <w:tcPr>
            <w:tcW w:type="pct" w:w="796"/>
            <w:tcMar>
              <w:top w:type="dxa" w:w="50"/>
              <w:left w:type="dxa" w:w="110"/>
              <w:bottom w:type="dxa" w:w="50"/>
              <w:right w:type="dxa" w:w="110"/>
            </w:tcMar>
          </w:tcPr>
          <w:p>
            <w:pPr>
              <w:spacing w:before="28" w:after="28"/>
            </w:pPr>
            <w:r>
              <w:rPr>
                <w:sz w:val="15"/>
                <w:szCs w:val="15"/>
              </w:rPr>
              <w:t xml:space="preserve">2,100,000</w:t>
            </w:r>
          </w:p>
        </w:tc>
        <w:tc>
          <w:tcPr>
            <w:tcW w:type="pct" w:w="863"/>
            <w:tcMar>
              <w:top w:type="dxa" w:w="50"/>
              <w:left w:type="dxa" w:w="110"/>
              <w:bottom w:type="dxa" w:w="50"/>
              <w:right w:type="dxa" w:w="110"/>
            </w:tcMar>
          </w:tcPr>
          <w:p>
            <w:pPr>
              <w:spacing w:before="28" w:after="28"/>
            </w:pPr>
            <w:r>
              <w:rPr>
                <w:sz w:val="15"/>
                <w:szCs w:val="15"/>
              </w:rPr>
              <w:t xml:space="preserve">12,480,000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Controllable fixed costs</w:t>
            </w:r>
          </w:p>
        </w:tc>
        <w:tc>
          <w:tcPr>
            <w:tcW w:type="pct" w:w="863"/>
            <w:shd w:fill="FBFAF6" w:val="clear"/>
            <w:tcMar>
              <w:top w:type="dxa" w:w="50"/>
              <w:left w:type="dxa" w:w="110"/>
              <w:bottom w:type="dxa" w:w="50"/>
              <w:right w:type="dxa" w:w="110"/>
            </w:tcMar>
          </w:tcPr>
          <w:p>
            <w:pPr>
              <w:spacing w:before="28" w:after="28"/>
            </w:pPr>
            <w:r>
              <w:rPr>
                <w:sz w:val="15"/>
                <w:szCs w:val="15"/>
              </w:rPr>
              <w:t xml:space="preserve">(3,160,000)</w:t>
            </w:r>
          </w:p>
        </w:tc>
        <w:tc>
          <w:tcPr>
            <w:tcW w:type="pct" w:w="789"/>
            <w:shd w:fill="FBFAF6" w:val="clear"/>
            <w:tcMar>
              <w:top w:type="dxa" w:w="50"/>
              <w:left w:type="dxa" w:w="110"/>
              <w:bottom w:type="dxa" w:w="50"/>
              <w:right w:type="dxa" w:w="110"/>
            </w:tcMar>
          </w:tcPr>
          <w:p>
            <w:pPr>
              <w:spacing w:before="28" w:after="28"/>
            </w:pPr>
            <w:r>
              <w:rPr>
                <w:sz w:val="15"/>
                <w:szCs w:val="15"/>
              </w:rPr>
              <w:t xml:space="preserve">(1,400,000)</w:t>
            </w:r>
          </w:p>
        </w:tc>
        <w:tc>
          <w:tcPr>
            <w:tcW w:type="pct" w:w="796"/>
            <w:shd w:fill="FBFAF6" w:val="clear"/>
            <w:tcMar>
              <w:top w:type="dxa" w:w="50"/>
              <w:left w:type="dxa" w:w="110"/>
              <w:bottom w:type="dxa" w:w="50"/>
              <w:right w:type="dxa" w:w="110"/>
            </w:tcMar>
          </w:tcPr>
          <w:p>
            <w:pPr>
              <w:spacing w:before="28" w:after="28"/>
            </w:pPr>
            <w:r>
              <w:rPr>
                <w:sz w:val="15"/>
                <w:szCs w:val="15"/>
              </w:rPr>
              <w:t xml:space="preserve">(900,000)</w:t>
            </w:r>
          </w:p>
        </w:tc>
        <w:tc>
          <w:tcPr>
            <w:tcW w:type="pct" w:w="863"/>
            <w:shd w:fill="FBFAF6" w:val="clear"/>
            <w:tcMar>
              <w:top w:type="dxa" w:w="50"/>
              <w:left w:type="dxa" w:w="110"/>
              <w:bottom w:type="dxa" w:w="50"/>
              <w:right w:type="dxa" w:w="110"/>
            </w:tcMar>
          </w:tcPr>
          <w:p>
            <w:pPr>
              <w:spacing w:before="28" w:after="28"/>
            </w:pPr>
            <w:r>
              <w:rPr>
                <w:sz w:val="15"/>
                <w:szCs w:val="15"/>
              </w:rPr>
              <w:t xml:space="preserve">(5,460,000)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63"/>
            <w:tcMar>
              <w:top w:type="dxa" w:w="50"/>
              <w:left w:type="dxa" w:w="110"/>
              <w:bottom w:type="dxa" w:w="50"/>
              <w:right w:type="dxa" w:w="110"/>
            </w:tcMar>
          </w:tcPr>
          <w:p>
            <w:pPr>
              <w:spacing w:before="28" w:after="28"/>
            </w:pPr>
            <w:r>
              <w:rPr>
                <w:sz w:val="15"/>
                <w:szCs w:val="15"/>
              </w:rPr>
              <w:t xml:space="preserve">4,220,000</w:t>
            </w:r>
          </w:p>
        </w:tc>
        <w:tc>
          <w:tcPr>
            <w:tcW w:type="pct" w:w="789"/>
            <w:tcMar>
              <w:top w:type="dxa" w:w="50"/>
              <w:left w:type="dxa" w:w="110"/>
              <w:bottom w:type="dxa" w:w="50"/>
              <w:right w:type="dxa" w:w="110"/>
            </w:tcMar>
          </w:tcPr>
          <w:p>
            <w:pPr>
              <w:spacing w:before="28" w:after="28"/>
            </w:pPr>
            <w:r>
              <w:rPr>
                <w:sz w:val="15"/>
                <w:szCs w:val="15"/>
              </w:rPr>
              <w:t xml:space="preserve">1,600,000</w:t>
            </w:r>
          </w:p>
        </w:tc>
        <w:tc>
          <w:tcPr>
            <w:tcW w:type="pct" w:w="796"/>
            <w:tcMar>
              <w:top w:type="dxa" w:w="50"/>
              <w:left w:type="dxa" w:w="110"/>
              <w:bottom w:type="dxa" w:w="50"/>
              <w:right w:type="dxa" w:w="110"/>
            </w:tcMar>
          </w:tcPr>
          <w:p>
            <w:pPr>
              <w:spacing w:before="28" w:after="28"/>
            </w:pPr>
            <w:r>
              <w:rPr>
                <w:sz w:val="15"/>
                <w:szCs w:val="15"/>
              </w:rPr>
              <w:t xml:space="preserve">1,200,000</w:t>
            </w:r>
          </w:p>
        </w:tc>
        <w:tc>
          <w:tcPr>
            <w:tcW w:type="pct" w:w="863"/>
            <w:tcMar>
              <w:top w:type="dxa" w:w="50"/>
              <w:left w:type="dxa" w:w="110"/>
              <w:bottom w:type="dxa" w:w="50"/>
              <w:right w:type="dxa" w:w="110"/>
            </w:tcMar>
          </w:tcPr>
          <w:p>
            <w:pPr>
              <w:spacing w:before="28" w:after="28"/>
            </w:pPr>
            <w:r>
              <w:rPr>
                <w:sz w:val="15"/>
                <w:szCs w:val="15"/>
              </w:rPr>
              <w:t xml:space="preserve">7,020,000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Other traceable fixed costs</w:t>
            </w:r>
          </w:p>
        </w:tc>
        <w:tc>
          <w:tcPr>
            <w:tcW w:type="pct" w:w="863"/>
            <w:shd w:fill="FBFAF6" w:val="clear"/>
            <w:tcMar>
              <w:top w:type="dxa" w:w="50"/>
              <w:left w:type="dxa" w:w="110"/>
              <w:bottom w:type="dxa" w:w="50"/>
              <w:right w:type="dxa" w:w="110"/>
            </w:tcMar>
          </w:tcPr>
          <w:p>
            <w:pPr>
              <w:spacing w:before="28" w:after="28"/>
            </w:pPr>
            <w:r>
              <w:rPr>
                <w:sz w:val="15"/>
                <w:szCs w:val="15"/>
              </w:rPr>
              <w:t xml:space="preserve">(1,040,000)</w:t>
            </w:r>
          </w:p>
        </w:tc>
        <w:tc>
          <w:tcPr>
            <w:tcW w:type="pct" w:w="789"/>
            <w:shd w:fill="FBFAF6" w:val="clear"/>
            <w:tcMar>
              <w:top w:type="dxa" w:w="50"/>
              <w:left w:type="dxa" w:w="110"/>
              <w:bottom w:type="dxa" w:w="50"/>
              <w:right w:type="dxa" w:w="110"/>
            </w:tcMar>
          </w:tcPr>
          <w:p>
            <w:pPr>
              <w:spacing w:before="28" w:after="28"/>
            </w:pPr>
            <w:r>
              <w:rPr>
                <w:sz w:val="15"/>
                <w:szCs w:val="15"/>
              </w:rPr>
              <w:t xml:space="preserve">(600,000)</w:t>
            </w:r>
          </w:p>
        </w:tc>
        <w:tc>
          <w:tcPr>
            <w:tcW w:type="pct" w:w="796"/>
            <w:shd w:fill="FBFAF6" w:val="clear"/>
            <w:tcMar>
              <w:top w:type="dxa" w:w="50"/>
              <w:left w:type="dxa" w:w="110"/>
              <w:bottom w:type="dxa" w:w="50"/>
              <w:right w:type="dxa" w:w="110"/>
            </w:tcMar>
          </w:tcPr>
          <w:p>
            <w:pPr>
              <w:spacing w:before="28" w:after="28"/>
            </w:pPr>
            <w:r>
              <w:rPr>
                <w:sz w:val="15"/>
                <w:szCs w:val="15"/>
              </w:rPr>
              <w:t xml:space="preserve">(360,000)</w:t>
            </w:r>
          </w:p>
        </w:tc>
        <w:tc>
          <w:tcPr>
            <w:tcW w:type="pct" w:w="863"/>
            <w:shd w:fill="FBFAF6" w:val="clear"/>
            <w:tcMar>
              <w:top w:type="dxa" w:w="50"/>
              <w:left w:type="dxa" w:w="110"/>
              <w:bottom w:type="dxa" w:w="50"/>
              <w:right w:type="dxa" w:w="110"/>
            </w:tcMar>
          </w:tcPr>
          <w:p>
            <w:pPr>
              <w:spacing w:before="28" w:after="28"/>
            </w:pPr>
            <w:r>
              <w:rPr>
                <w:sz w:val="15"/>
                <w:szCs w:val="15"/>
              </w:rPr>
              <w:t xml:space="preserve">(2,000,000)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63"/>
            <w:tcMar>
              <w:top w:type="dxa" w:w="50"/>
              <w:left w:type="dxa" w:w="110"/>
              <w:bottom w:type="dxa" w:w="50"/>
              <w:right w:type="dxa" w:w="110"/>
            </w:tcMar>
          </w:tcPr>
          <w:p>
            <w:pPr>
              <w:spacing w:before="28" w:after="28"/>
            </w:pPr>
            <w:r>
              <w:rPr>
                <w:sz w:val="15"/>
                <w:szCs w:val="15"/>
              </w:rPr>
              <w:t xml:space="preserve">3,180,000</w:t>
            </w:r>
          </w:p>
        </w:tc>
        <w:tc>
          <w:tcPr>
            <w:tcW w:type="pct" w:w="789"/>
            <w:tcMar>
              <w:top w:type="dxa" w:w="50"/>
              <w:left w:type="dxa" w:w="110"/>
              <w:bottom w:type="dxa" w:w="50"/>
              <w:right w:type="dxa" w:w="110"/>
            </w:tcMar>
          </w:tcPr>
          <w:p>
            <w:pPr>
              <w:spacing w:before="28" w:after="28"/>
            </w:pPr>
            <w:r>
              <w:rPr>
                <w:sz w:val="15"/>
                <w:szCs w:val="15"/>
              </w:rPr>
              <w:t xml:space="preserve">1,000,000</w:t>
            </w:r>
          </w:p>
        </w:tc>
        <w:tc>
          <w:tcPr>
            <w:tcW w:type="pct" w:w="796"/>
            <w:tcMar>
              <w:top w:type="dxa" w:w="50"/>
              <w:left w:type="dxa" w:w="110"/>
              <w:bottom w:type="dxa" w:w="50"/>
              <w:right w:type="dxa" w:w="110"/>
            </w:tcMar>
          </w:tcPr>
          <w:p>
            <w:pPr>
              <w:spacing w:before="28" w:after="28"/>
            </w:pPr>
            <w:r>
              <w:rPr>
                <w:sz w:val="15"/>
                <w:szCs w:val="15"/>
              </w:rPr>
              <w:t xml:space="preserve">840,000</w:t>
            </w:r>
          </w:p>
        </w:tc>
        <w:tc>
          <w:tcPr>
            <w:tcW w:type="pct" w:w="863"/>
            <w:tcMar>
              <w:top w:type="dxa" w:w="50"/>
              <w:left w:type="dxa" w:w="110"/>
              <w:bottom w:type="dxa" w:w="50"/>
              <w:right w:type="dxa" w:w="110"/>
            </w:tcMar>
          </w:tcPr>
          <w:p>
            <w:pPr>
              <w:spacing w:before="28" w:after="28"/>
            </w:pPr>
            <w:r>
              <w:rPr>
                <w:sz w:val="15"/>
                <w:szCs w:val="15"/>
              </w:rPr>
              <w:t xml:space="preserve">5,020,000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Allocated head-office cost</w:t>
            </w:r>
          </w:p>
        </w:tc>
        <w:tc>
          <w:tcPr>
            <w:tcW w:type="pct" w:w="863"/>
            <w:shd w:fill="FBFAF6" w:val="clear"/>
            <w:tcMar>
              <w:top w:type="dxa" w:w="50"/>
              <w:left w:type="dxa" w:w="110"/>
              <w:bottom w:type="dxa" w:w="50"/>
              <w:right w:type="dxa" w:w="110"/>
            </w:tcMar>
          </w:tcPr>
          <w:p>
            <w:pPr>
              <w:spacing w:before="28" w:after="28"/>
            </w:pPr>
            <w:r>
              <w:rPr>
                <w:sz w:val="15"/>
                <w:szCs w:val="15"/>
              </w:rPr>
              <w:t xml:space="preserve">(613,953)</w:t>
            </w:r>
          </w:p>
        </w:tc>
        <w:tc>
          <w:tcPr>
            <w:tcW w:type="pct" w:w="789"/>
            <w:shd w:fill="FBFAF6" w:val="clear"/>
            <w:tcMar>
              <w:top w:type="dxa" w:w="50"/>
              <w:left w:type="dxa" w:w="110"/>
              <w:bottom w:type="dxa" w:w="50"/>
              <w:right w:type="dxa" w:w="110"/>
            </w:tcMar>
          </w:tcPr>
          <w:p>
            <w:pPr>
              <w:spacing w:before="28" w:after="28"/>
            </w:pPr>
            <w:r>
              <w:rPr>
                <w:sz w:val="15"/>
                <w:szCs w:val="15"/>
              </w:rPr>
              <w:t xml:space="preserve">(306,977)</w:t>
            </w:r>
          </w:p>
        </w:tc>
        <w:tc>
          <w:tcPr>
            <w:tcW w:type="pct" w:w="796"/>
            <w:shd w:fill="FBFAF6" w:val="clear"/>
            <w:tcMar>
              <w:top w:type="dxa" w:w="50"/>
              <w:left w:type="dxa" w:w="110"/>
              <w:bottom w:type="dxa" w:w="50"/>
              <w:right w:type="dxa" w:w="110"/>
            </w:tcMar>
          </w:tcPr>
          <w:p>
            <w:pPr>
              <w:spacing w:before="28" w:after="28"/>
            </w:pPr>
            <w:r>
              <w:rPr>
                <w:sz w:val="15"/>
                <w:szCs w:val="15"/>
              </w:rPr>
              <w:t xml:space="preserve">(179,070)</w:t>
            </w:r>
          </w:p>
        </w:tc>
        <w:tc>
          <w:tcPr>
            <w:tcW w:type="pct" w:w="863"/>
            <w:shd w:fill="FBFAF6" w:val="clear"/>
            <w:tcMar>
              <w:top w:type="dxa" w:w="50"/>
              <w:left w:type="dxa" w:w="110"/>
              <w:bottom w:type="dxa" w:w="50"/>
              <w:right w:type="dxa" w:w="110"/>
            </w:tcMar>
          </w:tcPr>
          <w:p>
            <w:pPr>
              <w:spacing w:before="28" w:after="28"/>
            </w:pPr>
            <w:r>
              <w:rPr>
                <w:sz w:val="15"/>
                <w:szCs w:val="15"/>
              </w:rPr>
              <w:t xml:space="preserve">1,100,000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63"/>
            <w:tcMar>
              <w:top w:type="dxa" w:w="50"/>
              <w:left w:type="dxa" w:w="110"/>
              <w:bottom w:type="dxa" w:w="50"/>
              <w:right w:type="dxa" w:w="110"/>
            </w:tcMar>
          </w:tcPr>
          <w:p>
            <w:pPr>
              <w:spacing w:before="28" w:after="28"/>
            </w:pPr>
            <w:r>
              <w:rPr>
                <w:sz w:val="15"/>
                <w:szCs w:val="15"/>
              </w:rPr>
              <w:t xml:space="preserve">2,566,047</w:t>
            </w:r>
          </w:p>
        </w:tc>
        <w:tc>
          <w:tcPr>
            <w:tcW w:type="pct" w:w="789"/>
            <w:tcMar>
              <w:top w:type="dxa" w:w="50"/>
              <w:left w:type="dxa" w:w="110"/>
              <w:bottom w:type="dxa" w:w="50"/>
              <w:right w:type="dxa" w:w="110"/>
            </w:tcMar>
          </w:tcPr>
          <w:p>
            <w:pPr>
              <w:spacing w:before="28" w:after="28"/>
            </w:pPr>
            <w:r>
              <w:rPr>
                <w:sz w:val="15"/>
                <w:szCs w:val="15"/>
              </w:rPr>
              <w:t xml:space="preserve">693,023</w:t>
            </w:r>
          </w:p>
        </w:tc>
        <w:tc>
          <w:tcPr>
            <w:tcW w:type="pct" w:w="796"/>
            <w:tcMar>
              <w:top w:type="dxa" w:w="50"/>
              <w:left w:type="dxa" w:w="110"/>
              <w:bottom w:type="dxa" w:w="50"/>
              <w:right w:type="dxa" w:w="110"/>
            </w:tcMar>
          </w:tcPr>
          <w:p>
            <w:pPr>
              <w:spacing w:before="28" w:after="28"/>
            </w:pPr>
            <w:r>
              <w:rPr>
                <w:sz w:val="15"/>
                <w:szCs w:val="15"/>
              </w:rPr>
              <w:t xml:space="preserve">660,930</w:t>
            </w:r>
          </w:p>
        </w:tc>
        <w:tc>
          <w:tcPr>
            <w:tcW w:type="pct" w:w="863"/>
            <w:tcMar>
              <w:top w:type="dxa" w:w="50"/>
              <w:left w:type="dxa" w:w="110"/>
              <w:bottom w:type="dxa" w:w="50"/>
              <w:right w:type="dxa" w:w="110"/>
            </w:tcMar>
          </w:tcPr>
          <w:p>
            <w:pPr>
              <w:spacing w:before="28" w:after="28"/>
            </w:pPr>
            <w:r>
              <w:rPr>
                <w:sz w:val="15"/>
                <w:szCs w:val="15"/>
              </w:rPr>
              <w:t xml:space="preserve">3,920,000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Result after allocation   ·   = Controllable margin   ·   = Segment margin   ·   = Contribution margin   ·   − Controllable fixed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Deducting any fixed cost before the contribution margin gives a figure that no longer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an extra unit adds.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cost-volume-profit   ·   division   ·   measures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Controllable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Result after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responsible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business   ·   separate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38"/>
        <w:gridCol w:w="3888"/>
        <w:gridCol w:w="33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025"/>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757"/>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218"/>
            <w:tcMar>
              <w:top w:type="dxa" w:w="50"/>
              <w:left w:type="dxa" w:w="110"/>
              <w:bottom w:type="dxa" w:w="50"/>
              <w:right w:type="dxa" w:w="110"/>
            </w:tcMar>
          </w:tcPr>
          <w:p>
            <w:pPr>
              <w:spacing w:before="28" w:after="28"/>
            </w:pPr>
            <w:r>
              <w:rPr>
                <w:sz w:val="15"/>
                <w:szCs w:val="15"/>
              </w:rPr>
              <w:t xml:space="preserve">Divisions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757"/>
            <w:tcMar>
              <w:top w:type="dxa" w:w="50"/>
              <w:left w:type="dxa" w:w="110"/>
              <w:bottom w:type="dxa" w:w="50"/>
              <w:right w:type="dxa" w:w="110"/>
            </w:tcMar>
          </w:tcPr>
          <w:p>
            <w:pPr>
              <w:spacing w:before="28" w:after="28"/>
            </w:pPr>
            <w:r>
              <w:rPr>
                <w:sz w:val="15"/>
                <w:szCs w:val="15"/>
              </w:rPr>
              <w:t xml:space="preserve">Each has a manager responsible for results</w:t>
            </w:r>
          </w:p>
        </w:tc>
      </w:tr>
      <w:tr>
        <w:tc>
          <w:tcPr>
            <w:tcW w:type="pct" w:w="1218"/>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025"/>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757"/>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218"/>
            <w:tcMar>
              <w:top w:type="dxa" w:w="50"/>
              <w:left w:type="dxa" w:w="110"/>
              <w:bottom w:type="dxa" w:w="50"/>
              <w:right w:type="dxa" w:w="110"/>
            </w:tcMar>
          </w:tcPr>
          <w:p>
            <w:pPr>
              <w:spacing w:before="28" w:after="28"/>
            </w:pPr>
            <w:r>
              <w:rPr>
                <w:sz w:val="15"/>
                <w:szCs w:val="15"/>
              </w:rPr>
              <w:t xml:space="preserve">Geographical areas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757"/>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218"/>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757"/>
            <w:shd w:fill="FBFAF6" w:val="clear"/>
            <w:tcMar>
              <w:top w:type="dxa" w:w="50"/>
              <w:left w:type="dxa" w:w="110"/>
              <w:bottom w:type="dxa" w:w="50"/>
              <w:right w:type="dxa" w:w="110"/>
            </w:tcMar>
          </w:tcPr>
          <w:p>
            <w:pPr>
              <w:spacing w:before="28" w:after="28"/>
            </w:pPr>
            <w:r>
              <w:rPr>
                <w:sz w:val="15"/>
                <w:szCs w:val="15"/>
              </w:rPr>
              <w:t xml:space="preserve">Book 2, Chapter 13 measured customer profitability</w:t>
            </w:r>
          </w:p>
        </w:tc>
      </w:tr>
      <w:tr>
        <w:tc>
          <w:tcPr>
            <w:tcW w:type="pct" w:w="1218"/>
            <w:tcMar>
              <w:top w:type="dxa" w:w="50"/>
              <w:left w:type="dxa" w:w="110"/>
              <w:bottom w:type="dxa" w:w="50"/>
              <w:right w:type="dxa" w:w="110"/>
            </w:tcMar>
          </w:tcPr>
          <w:p>
            <w:pPr>
              <w:spacing w:before="28" w:after="28"/>
            </w:pPr>
            <w:r>
              <w:rPr>
                <w:sz w:val="15"/>
                <w:szCs w:val="15"/>
              </w:rPr>
              <w:t xml:space="preserve">Reportable segments under ASC 280</w:t>
            </w:r>
          </w:p>
        </w:tc>
        <w:tc>
          <w:tcPr>
            <w:tcW w:type="pct" w:w="2025"/>
            <w:tcMar>
              <w:top w:type="dxa" w:w="50"/>
              <w:left w:type="dxa" w:w="110"/>
              <w:bottom w:type="dxa" w:w="50"/>
              <w:right w:type="dxa" w:w="110"/>
            </w:tcMar>
          </w:tcPr>
          <w:p>
            <w:pPr>
              <w:spacing w:before="28" w:after="28"/>
            </w:pPr>
            <w:r>
              <w:rPr>
                <w:sz w:val="15"/>
                <w:szCs w:val="15"/>
              </w:rPr>
              <w:t xml:space="preserve">The divisions, as reported to the chief operating decision maker</w:t>
            </w:r>
          </w:p>
        </w:tc>
        <w:tc>
          <w:tcPr>
            <w:tcW w:type="pct" w:w="1757"/>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External reporting follows internal reporting   ·   Beverages, Oils, Tahini &amp; Spreads   ·   Supermarkets, hotels, Barada   ·   stand-alone cost allocation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Gulf is a geographical segment that cuts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 three divisions.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reporting follows the same logic. </w:t>
      </w:r>
      <w:r>
        <w:rPr>
          <w:sz w:val="19"/>
          <w:szCs w:val="19"/>
        </w:rPr>
        <w:t xml:space="preserve">Under U.S. GAAP a company reports the segments its chief operating decision maker uses, so the internal report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one usually share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across   ·   published   ·   matters   ·   accountable   ·   structure   ·   External   ·   overlap</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overlap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across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 Oils, 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published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Supermarkets, hotels, Barada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External reporting follows internal reporting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common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more than one segment and cannot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charged a share. </w:t>
      </w:r>
      <w:r>
        <w:rPr>
          <w:sz w:val="19"/>
          <w:szCs w:val="19"/>
        </w:rPr>
        <w:t xml:space="preserve">Stand-alone cost allocation shares the cost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what each would have paid alone. </w:t>
      </w:r>
      <w:r>
        <w:rPr>
          <w:sz w:val="19"/>
          <w:szCs w:val="19"/>
        </w:rPr>
        <w:t xml:space="preserve">Incremental cost allocation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primary user its stand-alone cost and the other user only the extra cost it adds.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serves   ·   proportion   ·   division   ·   segment   ·   zero-based   ·   traced   ·   charges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Alone, the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decision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76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Each method gives a different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from the same facts, and none of them is wrong. </w:t>
      </w:r>
      <w:r>
        <w:rPr>
          <w:sz w:val="19"/>
          <w:szCs w:val="19"/>
        </w:rPr>
        <w:t xml:space="preserve">The stand-alone method shares the saving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users, while the incremental method gives all of it to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user. </w:t>
      </w:r>
      <w:r>
        <w:rPr>
          <w:sz w:val="19"/>
          <w:szCs w:val="19"/>
        </w:rPr>
        <w:t xml:space="preserve">The choice of primary user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   ·   therefore   ·   between   ·   second   ·   Incremental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Stand-alone cost if rented separately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different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incremental cost allocation   ·   common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incremental cost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between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 Stand-alone cost allocation shares the cost in proportion to what each would have paid alone. Incremental cost allocation charges a primary user its stand-alone cost and the other user only the extra cost it adds.</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each manager on the controllable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carefully   ·   memorandum   ·   percentage   ·   argues   ·   judges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as variable, controllable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classify   ·   carefully   ·   controllable   ·   calculate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investment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classify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judges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dd4f9ca5520ea92759b79b76b2fbeb4923a2650.png" Type="http://schemas.openxmlformats.org/officeDocument/2006/relationships/image"/><Relationship Id="rId102" Target="media/952947bcaac50834c8660f956569f8c5875261da.png" Type="http://schemas.openxmlformats.org/officeDocument/2006/relationships/image"/><Relationship Id="rId103" Target="media/6093019442a8fb34450d21a925c4da3f0749f36a.png" Type="http://schemas.openxmlformats.org/officeDocument/2006/relationships/image"/><Relationship Id="rId104" Target="media/06ea9faf38734866f28a075c758b409e02f0c453.png" Type="http://schemas.openxmlformats.org/officeDocument/2006/relationships/image"/><Relationship Id="rId105" Target="media/bc99099eb53f1ca18864b64be7a42447daf40062.png" Type="http://schemas.openxmlformats.org/officeDocument/2006/relationships/image"/><Relationship Id="rId106" Target="media/fec148663ea419fb99dab0effec5cf8e8f6c5d89.png" Type="http://schemas.openxmlformats.org/officeDocument/2006/relationships/image"/><Relationship Id="rId107" Target="media/d0cc96b75286c30804ab849d18825bd6e1b8b961.png" Type="http://schemas.openxmlformats.org/officeDocument/2006/relationships/image"/><Relationship Id="rId108" Target="media/04f434e1a85de651ba68ca3f7897369f581b8ab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15</dc:title>
  <dc:subject>Summary handouts</dc:subject>
  <cp:category>Student Book</cp:category>
</cp:coreProperties>
</file>