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16.1  What a transfer price is for</w:t>
            </w:r>
          </w:p>
          <w:p>
            <w:pPr>
              <w:spacing w:before="0" w:after="46"/>
            </w:pPr>
            <w:r>
              <w:rPr>
                <w:color w:val="E8EAF6"/>
                <w:sz w:val="16"/>
                <w:szCs w:val="16"/>
              </w:rPr>
              <w:t xml:space="preserve">Chapter 16 · section 16.1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16,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range: minimum and maximum   ·   Extended Example 16A: raising the Gulf transfe   ·   What a transfer price is for   ·   Five ways of setting the price</w:t>
            </w:r>
          </w:p>
        </w:tc>
      </w:tr>
    </w:tbl>
    <w:p/>
    <w:p>
      <w:pPr>
        <w:spacing w:before="44" w:after="14"/>
      </w:pPr>
      <w:r>
        <w:rPr>
          <w:b/>
          <w:bCs/>
          <w:color w:val="353A7C"/>
          <w:sz w:val="18"/>
          <w:szCs w:val="18"/>
        </w:rPr>
        <w:t xml:space="preserve">Summary 1</w:t>
      </w:r>
      <w:r>
        <w:rPr>
          <w:color w:val="6B7280"/>
          <w:sz w:val="16"/>
          <w:szCs w:val="16"/>
        </w:rPr>
        <w:t xml:space="preserve">      gaps 4–8</w:t>
      </w:r>
    </w:p>
    <w:p>
      <w:pPr>
        <w:spacing w:before="20" w:after="20" w:line="360" w:lineRule="auto"/>
        <w:ind w:left="200"/>
      </w:pPr>
      <w:r>
        <w:rPr>
          <w:sz w:val="19"/>
          <w:szCs w:val="19"/>
        </w:rPr>
        <w:t xml:space="preserve">A transfer price is the price one part of a company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another for goods or services supplied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It is revenue to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unit and cost to the buying unit, so the two cancel in the company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cancels, the transfer price has no direct effect on company profit. </w:t>
      </w:r>
      <w:r>
        <w:rPr>
          <w:sz w:val="19"/>
          <w:szCs w:val="19"/>
        </w:rPr>
        <w:t xml:space="preserve">Its purpose is to influence decisions and to measure performance fairly.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internally   ·   supplying   ·   Beverages   ·   charges   ·   accounts   ·   Because</w:t>
            </w:r>
          </w:p>
        </w:tc>
      </w:tr>
    </w:tbl>
    <w:p/>
    <w:p>
      <w:pPr>
        <w:spacing w:before="44" w:after="14"/>
      </w:pPr>
      <w:r>
        <w:rPr>
          <w:b/>
          <w:bCs/>
          <w:color w:val="353A7C"/>
          <w:sz w:val="18"/>
          <w:szCs w:val="18"/>
        </w:rPr>
        <w:t xml:space="preserve">Summary 2</w:t>
      </w:r>
      <w:r>
        <w:rPr>
          <w:color w:val="6B7280"/>
          <w:sz w:val="16"/>
          <w:szCs w:val="16"/>
        </w:rPr>
        <w:t xml:space="preserve">      gaps 9–11</w:t>
      </w:r>
    </w:p>
    <w:p>
      <w:pPr>
        <w:spacing w:before="20" w:after="20" w:line="360" w:lineRule="auto"/>
        <w:ind w:left="200"/>
      </w:pP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can conflict. </w:t>
      </w:r>
      <w:r>
        <w:rPr>
          <w:sz w:val="19"/>
          <w:szCs w:val="19"/>
        </w:rPr>
        <w:t xml:space="preserve">A price that gives Levant a fair margin may be high enough to push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towards an outside carrier. </w:t>
      </w:r>
      <w:r>
        <w:rPr>
          <w:sz w:val="19"/>
          <w:szCs w:val="19"/>
        </w:rPr>
        <w:t xml:space="preserve">The rest of the chapter works out where the price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Beverages   ·   charges   ·   objectives   ·   should</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 and an instance of it.</w:t>
      </w:r>
    </w:p>
    <w:p>
      <w:pPr>
        <w:spacing w:after="40" w:before="90"/>
        <w:jc w:val="center"/>
      </w:pPr>
      <w:r>
        <w:drawing>
          <wp:inline distT="0" distB="0" distL="0" distR="0">
            <wp:extent cx="5734050" cy="294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942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dual-rate transfer pricing   ·   Fair performance evaluation   ·   Divisional autonomy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transfer price</w:t>
            </w:r>
          </w:p>
        </w:tc>
        <w:tc>
          <w:tcPr>
            <w:tcW w:type="pct" w:w="2400"/>
            <w:tcMar>
              <w:top w:type="dxa" w:w="50"/>
              <w:left w:type="dxa" w:w="110"/>
              <w:bottom w:type="dxa" w:w="50"/>
              <w:right w:type="dxa" w:w="110"/>
            </w:tcMar>
          </w:tcPr>
          <w:p>
            <w:pPr>
              <w:spacing w:before="26" w:after="26"/>
            </w:pPr>
            <w:r>
              <w:rPr>
                <w:color w:val="232733"/>
                <w:sz w:val="16"/>
                <w:szCs w:val="16"/>
              </w:rPr>
              <w:t xml:space="preserve">سعر التحويل</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16.1  What a transfer price is for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a transfer price is for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range: minimum and maximum</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objectives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16A: raising the Gulf transfe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charges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should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internally</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Fair performance evaluation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supplying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Divisional autonomy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accounts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transfer price is the price one part of a company charges another for goods or services supplied internally. It is revenue to the supplying unit and cost to the buying unit, so the two cancel in the company accounts. Because it cancels, the transfer price has no direct effect on company profit. Its purpose is to influence decisions and to measure performance fairly.</w:t>
      </w:r>
    </w:p>
    <w:p>
      <w:pPr>
        <w:spacing w:before="20" w:after="20"/>
        <w:ind w:left="240" w:hanging="240"/>
      </w:pPr>
      <w:r>
        <w:rPr>
          <w:b/>
          <w:bCs/>
          <w:color w:val="353A7C"/>
          <w:sz w:val="15"/>
          <w:szCs w:val="15"/>
        </w:rPr>
        <w:t xml:space="preserve">Summary 2   </w:t>
      </w:r>
      <w:r>
        <w:rPr>
          <w:color w:val="6B7280"/>
          <w:sz w:val="15"/>
          <w:szCs w:val="15"/>
        </w:rPr>
        <w:t xml:space="preserve">The objectives can conflict. A price that gives Levant a fair margin may be high enough to push Beverages towards an outside carrier. The rest of the chapter works out where the price should sit.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16.2  Five ways of setting the price</w:t>
            </w:r>
          </w:p>
          <w:p>
            <w:pPr>
              <w:spacing w:before="0" w:after="46"/>
            </w:pPr>
            <w:r>
              <w:rPr>
                <w:color w:val="E8EAF6"/>
                <w:sz w:val="16"/>
                <w:szCs w:val="16"/>
              </w:rPr>
              <w:t xml:space="preserve">Chapter 16 · section 16.2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Companies set transfer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 five ways: at the supplier's variable cost, at its full cost, at the market price, at a price the two managers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or at two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rates for the two sides.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   ·   variable   ·   negotiate   ·   prices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1091"/>
        <w:gridCol w:w="3194"/>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Five methods of setting a transfer price</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Method (C.2.i)</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Price a case</w:t>
            </w:r>
          </w:p>
        </w:tc>
        <w:tc>
          <w:tcPr>
            <w:tcW w:type="pct" w:w="1664"/>
            <w:shd w:fill="353A7C" w:val="clear"/>
            <w:tcMar>
              <w:top w:type="dxa" w:w="50"/>
              <w:left w:type="dxa" w:w="110"/>
              <w:bottom w:type="dxa" w:w="50"/>
              <w:right w:type="dxa" w:w="110"/>
            </w:tcMar>
          </w:tcPr>
          <w:p>
            <w:pPr>
              <w:spacing w:before="30" w:after="30"/>
            </w:pPr>
            <w:r>
              <w:rPr>
                <w:b/>
                <w:bCs/>
                <w:color w:val="FFFFFF"/>
                <w:sz w:val="15"/>
                <w:szCs w:val="15"/>
              </w:rPr>
              <w:t xml:space="preserve">Advantages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Disadvantages</w:t>
            </w:r>
          </w:p>
        </w:tc>
      </w:tr>
      <w:tr>
        <w:tc>
          <w:tcPr>
            <w:tcW w:type="pct" w:w="568"/>
            <w:tcMar>
              <w:top w:type="dxa" w:w="50"/>
              <w:left w:type="dxa" w:w="110"/>
              <w:bottom w:type="dxa" w:w="50"/>
              <w:right w:type="dxa" w:w="110"/>
            </w:tcMar>
          </w:tcPr>
          <w:p>
            <w:pPr>
              <w:spacing w:before="28" w:after="28"/>
            </w:pPr>
            <w:r>
              <w:rPr>
                <w:sz w:val="15"/>
                <w:szCs w:val="15"/>
              </w:rPr>
              <w:t xml:space="preserve">Variable cost</w:t>
            </w:r>
          </w:p>
        </w:tc>
        <w:tc>
          <w:tcPr>
            <w:tcW w:type="pct" w:w="568"/>
            <w:tcMar>
              <w:top w:type="dxa" w:w="50"/>
              <w:left w:type="dxa" w:w="110"/>
              <w:bottom w:type="dxa" w:w="50"/>
              <w:right w:type="dxa" w:w="110"/>
            </w:tcMar>
          </w:tcPr>
          <w:p>
            <w:pPr>
              <w:spacing w:before="28" w:after="28"/>
            </w:pPr>
            <w:r>
              <w:rPr>
                <w:sz w:val="15"/>
                <w:szCs w:val="15"/>
              </w:rPr>
              <w:t xml:space="preserve">$0.50</w:t>
            </w:r>
          </w:p>
        </w:tc>
        <w:tc>
          <w:tcPr>
            <w:tcW w:type="pct" w:w="1664"/>
            <w:tcMar>
              <w:top w:type="dxa" w:w="50"/>
              <w:left w:type="dxa" w:w="110"/>
              <w:bottom w:type="dxa" w:w="50"/>
              <w:right w:type="dxa" w:w="110"/>
            </w:tcMar>
          </w:tcPr>
          <w:p>
            <w:pPr>
              <w:spacing w:before="28" w:after="28"/>
            </w:pPr>
            <w:r>
              <w:rPr>
                <w:sz w:val="15"/>
                <w:szCs w:val="15"/>
              </w:rPr>
              <w:t xml:space="preserve">Leads to the right decision for the company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568"/>
            <w:shd w:fill="FBFAF6" w:val="clear"/>
            <w:tcMar>
              <w:top w:type="dxa" w:w="50"/>
              <w:left w:type="dxa" w:w="110"/>
              <w:bottom w:type="dxa" w:w="50"/>
              <w:right w:type="dxa" w:w="110"/>
            </w:tcMar>
          </w:tcPr>
          <w:p>
            <w:pPr>
              <w:spacing w:before="28" w:after="28"/>
            </w:pPr>
            <w:r>
              <w:rPr>
                <w:sz w:val="15"/>
                <w:szCs w:val="15"/>
              </w:rPr>
              <w:t xml:space="preserve">Full cost</w:t>
            </w:r>
          </w:p>
        </w:tc>
        <w:tc>
          <w:tcPr>
            <w:tcW w:type="pct" w:w="568"/>
            <w:shd w:fill="FBFAF6" w:val="clear"/>
            <w:tcMar>
              <w:top w:type="dxa" w:w="50"/>
              <w:left w:type="dxa" w:w="110"/>
              <w:bottom w:type="dxa" w:w="50"/>
              <w:right w:type="dxa" w:w="110"/>
            </w:tcMar>
          </w:tcPr>
          <w:p>
            <w:pPr>
              <w:spacing w:before="28" w:after="28"/>
            </w:pPr>
            <w:r>
              <w:rPr>
                <w:sz w:val="15"/>
                <w:szCs w:val="15"/>
              </w:rPr>
              <w:t xml:space="preserve">$0.80</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200"/>
            <w:shd w:fill="FBFAF6" w:val="clear"/>
            <w:tcMar>
              <w:top w:type="dxa" w:w="50"/>
              <w:left w:type="dxa" w:w="110"/>
              <w:bottom w:type="dxa" w:w="50"/>
              <w:right w:type="dxa" w:w="110"/>
            </w:tcMar>
          </w:tcPr>
          <w:p>
            <w:pPr>
              <w:spacing w:before="28" w:after="28"/>
            </w:pPr>
            <w:r>
              <w:rPr>
                <w:sz w:val="15"/>
                <w:szCs w:val="15"/>
              </w:rPr>
              <w:t xml:space="preserve">Fixed cost looks variable to the buyer, so it can refuse good internal business</w:t>
            </w:r>
          </w:p>
        </w:tc>
      </w:tr>
      <w:tr>
        <w:tc>
          <w:tcPr>
            <w:tcW w:type="pct" w:w="568"/>
            <w:tcMar>
              <w:top w:type="dxa" w:w="50"/>
              <w:left w:type="dxa" w:w="110"/>
              <w:bottom w:type="dxa" w:w="50"/>
              <w:right w:type="dxa" w:w="110"/>
            </w:tcMar>
          </w:tcPr>
          <w:p>
            <w:pPr>
              <w:spacing w:before="28" w:after="28"/>
            </w:pPr>
            <w:r>
              <w:rPr>
                <w:sz w:val="15"/>
                <w:szCs w:val="15"/>
              </w:rPr>
              <w:t xml:space="preserve">Market price</w:t>
            </w:r>
          </w:p>
        </w:tc>
        <w:tc>
          <w:tcPr>
            <w:tcW w:type="pct" w:w="568"/>
            <w:tcMar>
              <w:top w:type="dxa" w:w="50"/>
              <w:left w:type="dxa" w:w="110"/>
              <w:bottom w:type="dxa" w:w="50"/>
              <w:right w:type="dxa" w:w="110"/>
            </w:tcMar>
          </w:tcPr>
          <w:p>
            <w:pPr>
              <w:spacing w:before="28" w:after="28"/>
            </w:pPr>
            <w:r>
              <w:rPr>
                <w:sz w:val="15"/>
                <w:szCs w:val="15"/>
              </w:rPr>
              <w:t xml:space="preserve">$1.10</w:t>
            </w:r>
          </w:p>
        </w:tc>
        <w:tc>
          <w:tcPr>
            <w:tcW w:type="pct" w:w="1664"/>
            <w:tcMar>
              <w:top w:type="dxa" w:w="50"/>
              <w:left w:type="dxa" w:w="110"/>
              <w:bottom w:type="dxa" w:w="50"/>
              <w:right w:type="dxa" w:w="110"/>
            </w:tcMar>
          </w:tcPr>
          <w:p>
            <w:pPr>
              <w:spacing w:before="28" w:after="28"/>
            </w:pPr>
            <w:r>
              <w:rPr>
                <w:sz w:val="15"/>
                <w:szCs w:val="15"/>
              </w:rPr>
              <w:t xml:space="preserve">Fair to both; good when a competitive market exists</w:t>
            </w:r>
          </w:p>
        </w:tc>
        <w:tc>
          <w:tcPr>
            <w:tcW w:type="pct" w:w="2200"/>
            <w:tcMar>
              <w:top w:type="dxa" w:w="50"/>
              <w:left w:type="dxa" w:w="110"/>
              <w:bottom w:type="dxa" w:w="50"/>
              <w:right w:type="dxa" w:w="110"/>
            </w:tcMar>
          </w:tcPr>
          <w:p>
            <w:pPr>
              <w:spacing w:before="28" w:after="28"/>
            </w:pPr>
            <w:r>
              <w:rPr>
                <w:sz w:val="15"/>
                <w:szCs w:val="15"/>
              </w:rPr>
              <w:t xml:space="preserve">No market price for many internal services; ignores savings on internal trade</w:t>
            </w:r>
          </w:p>
        </w:tc>
      </w:tr>
      <w:tr>
        <w:tc>
          <w:tcPr>
            <w:tcW w:type="pct" w:w="568"/>
            <w:shd w:fill="FBFAF6" w:val="clear"/>
            <w:tcMar>
              <w:top w:type="dxa" w:w="50"/>
              <w:left w:type="dxa" w:w="110"/>
              <w:bottom w:type="dxa" w:w="50"/>
              <w:right w:type="dxa" w:w="110"/>
            </w:tcMar>
          </w:tcPr>
          <w:p>
            <w:pPr>
              <w:spacing w:before="28" w:after="28"/>
            </w:pPr>
            <w:r>
              <w:rPr>
                <w:sz w:val="15"/>
                <w:szCs w:val="15"/>
              </w:rPr>
              <w:t xml:space="preserve">Negotiated</w:t>
            </w:r>
          </w:p>
        </w:tc>
        <w:tc>
          <w:tcPr>
            <w:tcW w:type="pct" w:w="568"/>
            <w:shd w:fill="FBFAF6" w:val="clear"/>
            <w:tcMar>
              <w:top w:type="dxa" w:w="50"/>
              <w:left w:type="dxa" w:w="110"/>
              <w:bottom w:type="dxa" w:w="50"/>
              <w:right w:type="dxa" w:w="110"/>
            </w:tcMar>
          </w:tcPr>
          <w:p>
            <w:pPr>
              <w:spacing w:before="28" w:after="28"/>
            </w:pPr>
            <w:r>
              <w:rPr>
                <w:sz w:val="15"/>
                <w:szCs w:val="15"/>
              </w:rPr>
              <w:t xml:space="preserve">$0.90</w:t>
            </w:r>
          </w:p>
        </w:tc>
        <w:tc>
          <w:tcPr>
            <w:tcW w:type="pct" w:w="1664"/>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shd w:fill="FBFAF6" w:val="clear"/>
            <w:tcMar>
              <w:top w:type="dxa" w:w="50"/>
              <w:left w:type="dxa" w:w="110"/>
              <w:bottom w:type="dxa" w:w="50"/>
              <w:right w:type="dxa" w:w="110"/>
            </w:tcMar>
          </w:tcPr>
          <w:p>
            <w:pPr>
              <w:spacing w:before="28" w:after="28"/>
            </w:pPr>
            <w:r>
              <w:rPr>
                <w:sz w:val="15"/>
                <w:szCs w:val="15"/>
              </w:rPr>
              <w:t xml:space="preserve">Takes time; the better negotiator wins</w:t>
            </w:r>
          </w:p>
        </w:tc>
      </w:tr>
      <w:tr>
        <w:tc>
          <w:tcPr>
            <w:tcW w:type="pct" w:w="568"/>
            <w:tcMar>
              <w:top w:type="dxa" w:w="50"/>
              <w:left w:type="dxa" w:w="110"/>
              <w:bottom w:type="dxa" w:w="50"/>
              <w:right w:type="dxa" w:w="110"/>
            </w:tcMar>
          </w:tcPr>
          <w:p>
            <w:pPr>
              <w:spacing w:before="28" w:after="28"/>
            </w:pPr>
            <w:r>
              <w:rPr>
                <w:sz w:val="15"/>
                <w:szCs w:val="15"/>
              </w:rPr>
              <w:t xml:space="preserve">Dual rate</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664"/>
            <w:tcMar>
              <w:top w:type="dxa" w:w="50"/>
              <w:left w:type="dxa" w:w="110"/>
              <w:bottom w:type="dxa" w:w="50"/>
              <w:right w:type="dxa" w:w="110"/>
            </w:tcMar>
          </w:tcPr>
          <w:p>
            <w:pPr>
              <w:spacing w:before="28" w:after="28"/>
            </w:pPr>
            <w:r>
              <w:rPr>
                <w:sz w:val="15"/>
                <w:szCs w:val="15"/>
              </w:rPr>
              <w:t xml:space="preserve">Both divisions see the price that leads to the right decision</w:t>
            </w:r>
          </w:p>
        </w:tc>
        <w:tc>
          <w:tcPr>
            <w:tcW w:type="pct" w:w="2200"/>
            <w:tcMar>
              <w:top w:type="dxa" w:w="50"/>
              <w:left w:type="dxa" w:w="110"/>
              <w:bottom w:type="dxa" w:w="50"/>
              <w:right w:type="dxa" w:w="110"/>
            </w:tcMar>
          </w:tcPr>
          <w:p>
            <w:pPr>
              <w:spacing w:before="28" w:after="28"/>
            </w:pPr>
            <w:r>
              <w:rPr>
                <w:sz w:val="15"/>
                <w:szCs w:val="15"/>
              </w:rPr>
              <w:t xml:space="preserve">The two sides do not add up; the difference must be removed on consolidation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Respects autonomy; managers know their own costs   ·   Simple; covers the supplier's costs   ·   Supplier earns nothing; looks like a poor performer   ·   $1.10 / $0.50   ·   Takes time; the better negotiator wins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same year at five prices</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Beverages needs 900,000 cases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At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 Levant earns nothing on the work and Beverages keeps $6,930,000; at market price Levant earns $540,000.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   something   ·   delivered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99"/>
        <w:gridCol w:w="2092"/>
        <w:gridCol w:w="1332"/>
        <w:gridCol w:w="1846"/>
        <w:gridCol w:w="1830"/>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Worked example: the same year at five transfer prices</w:t>
            </w:r>
          </w:p>
        </w:tc>
      </w:tr>
      <w:tr>
        <w:tc>
          <w:tcPr>
            <w:tcW w:type="pct" w:w="1302"/>
            <w:shd w:fill="353A7C" w:val="clear"/>
            <w:tcMar>
              <w:top w:type="dxa" w:w="50"/>
              <w:left w:type="dxa" w:w="110"/>
              <w:bottom w:type="dxa" w:w="50"/>
              <w:right w:type="dxa" w:w="110"/>
            </w:tcMar>
          </w:tcPr>
          <w:p>
            <w:pPr>
              <w:spacing w:before="30" w:after="30"/>
            </w:pPr>
            <w:r>
              <w:rPr>
                <w:b/>
                <w:bCs/>
                <w:color w:val="FFFFFF"/>
                <w:sz w:val="15"/>
                <w:szCs w:val="15"/>
              </w:rPr>
              <w:t xml:space="preserve">Transfer price for 900,000 cases</w:t>
            </w:r>
          </w:p>
        </w:tc>
        <w:tc>
          <w:tcPr>
            <w:tcW w:type="pct" w:w="1089"/>
            <w:shd w:fill="353A7C" w:val="clear"/>
            <w:tcMar>
              <w:top w:type="dxa" w:w="50"/>
              <w:left w:type="dxa" w:w="110"/>
              <w:bottom w:type="dxa" w:w="50"/>
              <w:right w:type="dxa" w:w="110"/>
            </w:tcMar>
          </w:tcPr>
          <w:p>
            <w:pPr>
              <w:spacing w:before="30" w:after="30"/>
            </w:pPr>
            <w:r>
              <w:rPr>
                <w:b/>
                <w:bCs/>
                <w:color w:val="FFFFFF"/>
                <w:sz w:val="15"/>
                <w:szCs w:val="15"/>
              </w:rPr>
              <w:t xml:space="preserve">Price</w:t>
            </w:r>
          </w:p>
        </w:tc>
        <w:tc>
          <w:tcPr>
            <w:tcW w:type="pct" w:w="694"/>
            <w:shd w:fill="353A7C" w:val="clear"/>
            <w:tcMar>
              <w:top w:type="dxa" w:w="50"/>
              <w:left w:type="dxa" w:w="110"/>
              <w:bottom w:type="dxa" w:w="50"/>
              <w:right w:type="dxa" w:w="110"/>
            </w:tcMar>
          </w:tcPr>
          <w:p>
            <w:pPr>
              <w:spacing w:before="30" w:after="30"/>
            </w:pPr>
            <w:r>
              <w:rPr>
                <w:b/>
                <w:bCs/>
                <w:color w:val="FFFFFF"/>
                <w:sz w:val="15"/>
                <w:szCs w:val="15"/>
              </w:rPr>
              <w:t xml:space="preserve">Levant</w:t>
            </w:r>
          </w:p>
        </w:tc>
        <w:tc>
          <w:tcPr>
            <w:tcW w:type="pct" w:w="962"/>
            <w:shd w:fill="353A7C" w:val="clear"/>
            <w:tcMar>
              <w:top w:type="dxa" w:w="50"/>
              <w:left w:type="dxa" w:w="110"/>
              <w:bottom w:type="dxa" w:w="50"/>
              <w:right w:type="dxa" w:w="110"/>
            </w:tcMar>
          </w:tcPr>
          <w:p>
            <w:pPr>
              <w:spacing w:before="30" w:after="30"/>
            </w:pPr>
            <w:r>
              <w:rPr>
                <w:b/>
                <w:bCs/>
                <w:color w:val="FFFFFF"/>
                <w:sz w:val="15"/>
                <w:szCs w:val="15"/>
              </w:rPr>
              <w:t xml:space="preserve">Beverages</w:t>
            </w:r>
          </w:p>
        </w:tc>
        <w:tc>
          <w:tcPr>
            <w:tcW w:type="pct" w:w="953"/>
            <w:shd w:fill="353A7C" w:val="clear"/>
            <w:tcMar>
              <w:top w:type="dxa" w:w="50"/>
              <w:left w:type="dxa" w:w="110"/>
              <w:bottom w:type="dxa" w:w="50"/>
              <w:right w:type="dxa" w:w="110"/>
            </w:tcMar>
          </w:tcPr>
          <w:p>
            <w:pPr>
              <w:spacing w:before="30" w:after="30"/>
            </w:pPr>
            <w:r>
              <w:rPr>
                <w:b/>
                <w:bCs/>
                <w:color w:val="FFFFFF"/>
                <w:sz w:val="15"/>
                <w:szCs w:val="15"/>
              </w:rPr>
              <w:t xml:space="preserve">Company</w:t>
            </w:r>
          </w:p>
        </w:tc>
      </w:tr>
      <w:tr>
        <w:tc>
          <w:tcPr>
            <w:tcW w:type="pct" w:w="1302"/>
            <w:tcMar>
              <w:top w:type="dxa" w:w="50"/>
              <w:left w:type="dxa" w:w="110"/>
              <w:bottom w:type="dxa" w:w="50"/>
              <w:right w:type="dxa" w:w="110"/>
            </w:tcMar>
          </w:tcPr>
          <w:p>
            <w:pPr>
              <w:spacing w:before="28" w:after="28"/>
            </w:pPr>
            <w:r>
              <w:rPr>
                <w:sz w:val="15"/>
                <w:szCs w:val="15"/>
              </w:rPr>
              <w:t xml:space="preserve">Variable cost</w:t>
            </w:r>
          </w:p>
        </w:tc>
        <w:tc>
          <w:tcPr>
            <w:tcW w:type="pct" w:w="1089"/>
            <w:tcMar>
              <w:top w:type="dxa" w:w="50"/>
              <w:left w:type="dxa" w:w="110"/>
              <w:bottom w:type="dxa" w:w="50"/>
              <w:right w:type="dxa" w:w="110"/>
            </w:tcMar>
          </w:tcPr>
          <w:p>
            <w:pPr>
              <w:spacing w:before="28" w:after="28"/>
            </w:pPr>
            <w:r>
              <w:rPr>
                <w:sz w:val="15"/>
                <w:szCs w:val="15"/>
              </w:rPr>
              <w:t xml:space="preserve">$0.50</w:t>
            </w:r>
          </w:p>
        </w:tc>
        <w:tc>
          <w:tcPr>
            <w:tcW w:type="pct" w:w="694"/>
            <w:tcMar>
              <w:top w:type="dxa" w:w="50"/>
              <w:left w:type="dxa" w:w="110"/>
              <w:bottom w:type="dxa" w:w="50"/>
              <w:right w:type="dxa" w:w="110"/>
            </w:tcMar>
          </w:tcPr>
          <w:p>
            <w:pPr>
              <w:spacing w:before="28" w:after="28"/>
            </w:pPr>
            <w:r>
              <w:rPr>
                <w:sz w:val="15"/>
                <w:szCs w:val="15"/>
              </w:rPr>
              <w:t xml:space="preserve">0</w:t>
            </w:r>
          </w:p>
        </w:tc>
        <w:tc>
          <w:tcPr>
            <w:tcW w:type="pct" w:w="962"/>
            <w:tcMar>
              <w:top w:type="dxa" w:w="50"/>
              <w:left w:type="dxa" w:w="110"/>
              <w:bottom w:type="dxa" w:w="50"/>
              <w:right w:type="dxa" w:w="110"/>
            </w:tcMar>
          </w:tcPr>
          <w:p>
            <w:pPr>
              <w:spacing w:before="28" w:after="28"/>
            </w:pPr>
            <w:r>
              <w:rPr>
                <w:sz w:val="15"/>
                <w:szCs w:val="15"/>
              </w:rPr>
              <w:t xml:space="preserve">6,930,000</w:t>
            </w:r>
          </w:p>
        </w:tc>
        <w:tc>
          <w:tcPr>
            <w:tcW w:type="pct" w:w="953"/>
            <w:tcMar>
              <w:top w:type="dxa" w:w="50"/>
              <w:left w:type="dxa" w:w="110"/>
              <w:bottom w:type="dxa" w:w="50"/>
              <w:right w:type="dxa" w:w="110"/>
            </w:tcMar>
          </w:tcPr>
          <w:p>
            <w:pPr>
              <w:spacing w:before="28" w:after="28"/>
            </w:pPr>
            <w:r>
              <w:rPr>
                <w:sz w:val="15"/>
                <w:szCs w:val="15"/>
              </w:rPr>
              <w:t xml:space="preserve">6,930,000</w:t>
            </w:r>
          </w:p>
        </w:tc>
      </w:tr>
      <w:tr>
        <w:tc>
          <w:tcPr>
            <w:tcW w:type="pct" w:w="1302"/>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089"/>
            <w:shd w:fill="FBFAF6" w:val="clear"/>
            <w:tcMar>
              <w:top w:type="dxa" w:w="50"/>
              <w:left w:type="dxa" w:w="110"/>
              <w:bottom w:type="dxa" w:w="50"/>
              <w:right w:type="dxa" w:w="110"/>
            </w:tcMar>
          </w:tcPr>
          <w:p>
            <w:pPr>
              <w:spacing w:before="28" w:after="28"/>
            </w:pPr>
            <w:r>
              <w:rPr>
                <w:sz w:val="15"/>
                <w:szCs w:val="15"/>
              </w:rPr>
              <w:t xml:space="preserve">$0.80</w:t>
            </w:r>
          </w:p>
        </w:tc>
        <w:tc>
          <w:tcPr>
            <w:tcW w:type="pct" w:w="694"/>
            <w:shd w:fill="FBFAF6" w:val="clear"/>
            <w:tcMar>
              <w:top w:type="dxa" w:w="50"/>
              <w:left w:type="dxa" w:w="110"/>
              <w:bottom w:type="dxa" w:w="50"/>
              <w:right w:type="dxa" w:w="110"/>
            </w:tcMar>
          </w:tcPr>
          <w:p>
            <w:pPr>
              <w:spacing w:before="28" w:after="28"/>
            </w:pPr>
            <w:r>
              <w:rPr>
                <w:sz w:val="15"/>
                <w:szCs w:val="15"/>
              </w:rPr>
              <w:t xml:space="preserve">270,000</w:t>
            </w:r>
          </w:p>
        </w:tc>
        <w:tc>
          <w:tcPr>
            <w:tcW w:type="pct" w:w="962"/>
            <w:shd w:fill="FBFAF6" w:val="clear"/>
            <w:tcMar>
              <w:top w:type="dxa" w:w="50"/>
              <w:left w:type="dxa" w:w="110"/>
              <w:bottom w:type="dxa" w:w="50"/>
              <w:right w:type="dxa" w:w="110"/>
            </w:tcMar>
          </w:tcPr>
          <w:p>
            <w:pPr>
              <w:spacing w:before="28" w:after="28"/>
            </w:pPr>
            <w:r>
              <w:rPr>
                <w:sz w:val="15"/>
                <w:szCs w:val="15"/>
              </w:rPr>
              <w:t xml:space="preserve">6,660,000</w:t>
            </w:r>
          </w:p>
        </w:tc>
        <w:tc>
          <w:tcPr>
            <w:tcW w:type="pct" w:w="953"/>
            <w:shd w:fill="FBFAF6" w:val="clear"/>
            <w:tcMar>
              <w:top w:type="dxa" w:w="50"/>
              <w:left w:type="dxa" w:w="110"/>
              <w:bottom w:type="dxa" w:w="50"/>
              <w:right w:type="dxa" w:w="110"/>
            </w:tcMar>
          </w:tcPr>
          <w:p>
            <w:pPr>
              <w:spacing w:before="28" w:after="28"/>
            </w:pPr>
            <w:r>
              <w:rPr>
                <w:sz w:val="15"/>
                <w:szCs w:val="15"/>
              </w:rPr>
              <w:t xml:space="preserve">6,930,000</w:t>
            </w:r>
          </w:p>
        </w:tc>
      </w:tr>
      <w:tr>
        <w:tc>
          <w:tcPr>
            <w:tcW w:type="pct" w:w="1302"/>
            <w:tcMar>
              <w:top w:type="dxa" w:w="50"/>
              <w:left w:type="dxa" w:w="110"/>
              <w:bottom w:type="dxa" w:w="50"/>
              <w:right w:type="dxa" w:w="110"/>
            </w:tcMar>
          </w:tcPr>
          <w:p>
            <w:pPr>
              <w:spacing w:before="28" w:after="28"/>
            </w:pPr>
            <w:r>
              <w:rPr>
                <w:sz w:val="15"/>
                <w:szCs w:val="15"/>
              </w:rPr>
              <w:t xml:space="preserve">Negotiated</w:t>
            </w:r>
          </w:p>
        </w:tc>
        <w:tc>
          <w:tcPr>
            <w:tcW w:type="pct" w:w="1089"/>
            <w:tcMar>
              <w:top w:type="dxa" w:w="50"/>
              <w:left w:type="dxa" w:w="110"/>
              <w:bottom w:type="dxa" w:w="50"/>
              <w:right w:type="dxa" w:w="110"/>
            </w:tcMar>
          </w:tcPr>
          <w:p>
            <w:pPr>
              <w:spacing w:before="28" w:after="28"/>
            </w:pPr>
            <w:r>
              <w:rPr>
                <w:sz w:val="15"/>
                <w:szCs w:val="15"/>
              </w:rPr>
              <w:t xml:space="preserve">$0.90</w:t>
            </w:r>
          </w:p>
        </w:tc>
        <w:tc>
          <w:tcPr>
            <w:tcW w:type="pct" w:w="694"/>
            <w:tcMar>
              <w:top w:type="dxa" w:w="50"/>
              <w:left w:type="dxa" w:w="110"/>
              <w:bottom w:type="dxa" w:w="50"/>
              <w:right w:type="dxa" w:w="110"/>
            </w:tcMar>
          </w:tcPr>
          <w:p>
            <w:pPr>
              <w:spacing w:before="28" w:after="28"/>
            </w:pPr>
            <w:r>
              <w:rPr>
                <w:sz w:val="15"/>
                <w:szCs w:val="15"/>
              </w:rPr>
              <w:t xml:space="preserve">360,000</w:t>
            </w:r>
          </w:p>
        </w:tc>
        <w:tc>
          <w:tcPr>
            <w:tcW w:type="pct" w:w="962"/>
            <w:tcMar>
              <w:top w:type="dxa" w:w="50"/>
              <w:left w:type="dxa" w:w="110"/>
              <w:bottom w:type="dxa" w:w="50"/>
              <w:right w:type="dxa" w:w="110"/>
            </w:tcMar>
          </w:tcPr>
          <w:p>
            <w:pPr>
              <w:spacing w:before="28" w:after="28"/>
            </w:pPr>
            <w:r>
              <w:rPr>
                <w:sz w:val="15"/>
                <w:szCs w:val="15"/>
              </w:rPr>
              <w:t xml:space="preserve">6,570,000</w:t>
            </w:r>
          </w:p>
        </w:tc>
        <w:tc>
          <w:tcPr>
            <w:tcW w:type="pct" w:w="953"/>
            <w:tcMar>
              <w:top w:type="dxa" w:w="50"/>
              <w:left w:type="dxa" w:w="110"/>
              <w:bottom w:type="dxa" w:w="50"/>
              <w:right w:type="dxa" w:w="110"/>
            </w:tcMar>
          </w:tcPr>
          <w:p>
            <w:pPr>
              <w:spacing w:before="28" w:after="28"/>
            </w:pPr>
            <w:r>
              <w:rPr>
                <w:sz w:val="15"/>
                <w:szCs w:val="15"/>
              </w:rPr>
              <w:t xml:space="preserve">6,930,000</w:t>
            </w:r>
          </w:p>
        </w:tc>
      </w:tr>
      <w:tr>
        <w:tc>
          <w:tcPr>
            <w:tcW w:type="pct" w:w="1302"/>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089"/>
            <w:shd w:fill="FBFAF6" w:val="clear"/>
            <w:tcMar>
              <w:top w:type="dxa" w:w="50"/>
              <w:left w:type="dxa" w:w="110"/>
              <w:bottom w:type="dxa" w:w="50"/>
              <w:right w:type="dxa" w:w="110"/>
            </w:tcMar>
          </w:tcPr>
          <w:p>
            <w:pPr>
              <w:spacing w:before="28" w:after="28"/>
            </w:pPr>
            <w:r>
              <w:rPr>
                <w:sz w:val="15"/>
                <w:szCs w:val="15"/>
              </w:rPr>
              <w:t xml:space="preserve">$1.10</w:t>
            </w:r>
          </w:p>
        </w:tc>
        <w:tc>
          <w:tcPr>
            <w:tcW w:type="pct" w:w="694"/>
            <w:shd w:fill="FBFAF6" w:val="clear"/>
            <w:tcMar>
              <w:top w:type="dxa" w:w="50"/>
              <w:left w:type="dxa" w:w="110"/>
              <w:bottom w:type="dxa" w:w="50"/>
              <w:right w:type="dxa" w:w="110"/>
            </w:tcMar>
          </w:tcPr>
          <w:p>
            <w:pPr>
              <w:spacing w:before="28" w:after="28"/>
            </w:pPr>
            <w:r>
              <w:rPr>
                <w:sz w:val="15"/>
                <w:szCs w:val="15"/>
              </w:rPr>
              <w:t xml:space="preserve">540,000</w:t>
            </w:r>
          </w:p>
        </w:tc>
        <w:tc>
          <w:tcPr>
            <w:tcW w:type="pct" w:w="962"/>
            <w:shd w:fill="FBFAF6" w:val="clear"/>
            <w:tcMar>
              <w:top w:type="dxa" w:w="50"/>
              <w:left w:type="dxa" w:w="110"/>
              <w:bottom w:type="dxa" w:w="50"/>
              <w:right w:type="dxa" w:w="110"/>
            </w:tcMar>
          </w:tcPr>
          <w:p>
            <w:pPr>
              <w:spacing w:before="28" w:after="28"/>
            </w:pPr>
            <w:r>
              <w:rPr>
                <w:sz w:val="15"/>
                <w:szCs w:val="15"/>
              </w:rPr>
              <w:t xml:space="preserve">6,390,000</w:t>
            </w:r>
          </w:p>
        </w:tc>
        <w:tc>
          <w:tcPr>
            <w:tcW w:type="pct" w:w="953"/>
            <w:shd w:fill="FBFAF6" w:val="clear"/>
            <w:tcMar>
              <w:top w:type="dxa" w:w="50"/>
              <w:left w:type="dxa" w:w="110"/>
              <w:bottom w:type="dxa" w:w="50"/>
              <w:right w:type="dxa" w:w="110"/>
            </w:tcMar>
          </w:tcPr>
          <w:p>
            <w:pPr>
              <w:spacing w:before="28" w:after="28"/>
            </w:pPr>
            <w:r>
              <w:rPr>
                <w:sz w:val="15"/>
                <w:szCs w:val="15"/>
              </w:rPr>
              <w:t xml:space="preserve">6,930,000</w:t>
            </w:r>
          </w:p>
        </w:tc>
      </w:tr>
      <w:tr>
        <w:tc>
          <w:tcPr>
            <w:tcW w:type="pct" w:w="1302"/>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089"/>
            <w:tcMar>
              <w:top w:type="dxa" w:w="50"/>
              <w:left w:type="dxa" w:w="110"/>
              <w:bottom w:type="dxa" w:w="50"/>
              <w:right w:type="dxa" w:w="110"/>
            </w:tcMar>
          </w:tcPr>
          <w:p>
            <w:pPr>
              <w:spacing w:before="28" w:after="28"/>
            </w:pPr>
            <w:r>
              <w:rPr>
                <w:sz w:val="15"/>
                <w:szCs w:val="15"/>
              </w:rPr>
              <w:t xml:space="preserve">$1.10 / $0.50</w:t>
            </w:r>
          </w:p>
        </w:tc>
        <w:tc>
          <w:tcPr>
            <w:tcW w:type="pct" w:w="694"/>
            <w:tcMar>
              <w:top w:type="dxa" w:w="50"/>
              <w:left w:type="dxa" w:w="110"/>
              <w:bottom w:type="dxa" w:w="50"/>
              <w:right w:type="dxa" w:w="110"/>
            </w:tcMar>
          </w:tcPr>
          <w:p>
            <w:pPr>
              <w:spacing w:before="28" w:after="28"/>
            </w:pPr>
            <w:r>
              <w:rPr>
                <w:sz w:val="15"/>
                <w:szCs w:val="15"/>
              </w:rPr>
              <w:t xml:space="preserve">540,000</w:t>
            </w:r>
          </w:p>
        </w:tc>
        <w:tc>
          <w:tcPr>
            <w:tcW w:type="pct" w:w="962"/>
            <w:tcMar>
              <w:top w:type="dxa" w:w="50"/>
              <w:left w:type="dxa" w:w="110"/>
              <w:bottom w:type="dxa" w:w="50"/>
              <w:right w:type="dxa" w:w="110"/>
            </w:tcMar>
          </w:tcPr>
          <w:p>
            <w:pPr>
              <w:spacing w:before="28" w:after="28"/>
            </w:pPr>
            <w:r>
              <w:rPr>
                <w:sz w:val="15"/>
                <w:szCs w:val="15"/>
              </w:rPr>
              <w:t xml:space="preserve">6,930,000</w:t>
            </w:r>
          </w:p>
        </w:tc>
        <w:tc>
          <w:tcPr>
            <w:tcW w:type="pct" w:w="953"/>
            <w:tcMar>
              <w:top w:type="dxa" w:w="50"/>
              <w:left w:type="dxa" w:w="110"/>
              <w:bottom w:type="dxa" w:w="50"/>
              <w:right w:type="dxa" w:w="110"/>
            </w:tcMar>
          </w:tcPr>
          <w:p>
            <w:pPr>
              <w:spacing w:before="28" w:after="28"/>
            </w:pPr>
            <w:r>
              <w:rPr>
                <w:sz w:val="15"/>
                <w:szCs w:val="15"/>
              </w:rPr>
              <w:t xml:space="preserve">6,930,000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cost   ·   Market price   ·   Dual rate   ·   Full cost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negotiated and market prices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13–15</w:t>
      </w:r>
    </w:p>
    <w:p>
      <w:pPr>
        <w:spacing w:before="20" w:after="20" w:line="360" w:lineRule="auto"/>
        <w:ind w:left="200"/>
      </w:pPr>
      <w:r>
        <w:rPr>
          <w:sz w:val="19"/>
          <w:szCs w:val="19"/>
        </w:rPr>
        <w:t xml:space="preserve">Complete the blank cells.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transfer pricing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Levant with the market price and charges Beverages only the variable cost, so each manager faces the figure that leads to the right decision. </w:t>
      </w:r>
      <w:r>
        <w:rPr>
          <w:sz w:val="19"/>
          <w:szCs w:val="19"/>
        </w:rPr>
        <w:t xml:space="preserve">The $540,000 difference is removed when the divisions are added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together   ·   Dual-rate   ·   credits   ·   removed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company column never moves</w:t>
            </w:r>
          </w:p>
        </w:tc>
      </w:tr>
    </w:tbl>
    <w:p/>
    <w:p>
      <w:pPr>
        <w:spacing w:before="44" w:after="14"/>
      </w:pPr>
      <w:r>
        <w:rPr>
          <w:b/>
          <w:bCs/>
          <w:color w:val="353A7C"/>
          <w:sz w:val="18"/>
          <w:szCs w:val="18"/>
        </w:rPr>
        <w:t xml:space="preserve">Summary 4</w:t>
      </w:r>
      <w:r>
        <w:rPr>
          <w:color w:val="6B7280"/>
          <w:sz w:val="16"/>
          <w:szCs w:val="16"/>
        </w:rPr>
        <w:t xml:space="preserve">      gaps 16–20</w:t>
      </w:r>
    </w:p>
    <w:p>
      <w:pPr>
        <w:spacing w:before="20" w:after="20" w:line="360" w:lineRule="auto"/>
        <w:ind w:left="200"/>
      </w:pPr>
      <w:r>
        <w:rPr>
          <w:sz w:val="19"/>
          <w:szCs w:val="19"/>
        </w:rPr>
        <w:t xml:space="preserve">Changing a transfer price moves profit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divisions. </w:t>
      </w:r>
      <w:r>
        <w:rPr>
          <w:sz w:val="19"/>
          <w:szCs w:val="19"/>
        </w:rPr>
        <w:t xml:space="preserve">If an answer shows the company better or worse off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of the price alone, something has been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No method is right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A market price suits a product with an outside market, a negotiated price suits one without, and dual rates suit a case where the right decision and fair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pull apart.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double-counted   ·   pricing   ·   between   ·   everywhere   ·   because   ·   reporting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34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349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التسعير التحويلي المزدوج   ·   full-cost transfer price   ·   negotiated transfer price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7"/>
        <w:gridCol w:w="481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7"/>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3"/>
            <w:tcMar>
              <w:top w:type="dxa" w:w="50"/>
              <w:left w:type="dxa" w:w="110"/>
              <w:bottom w:type="dxa" w:w="50"/>
              <w:right w:type="dxa" w:w="110"/>
            </w:tcMar>
          </w:tcPr>
          <w:p>
            <w:pPr>
              <w:spacing w:before="26" w:after="26"/>
            </w:pPr>
            <w:r>
              <w:rPr>
                <w:color w:val="232733"/>
                <w:sz w:val="16"/>
                <w:szCs w:val="16"/>
              </w:rPr>
              <w:t xml:space="preserve">variable-cost transfer price</w:t>
            </w:r>
          </w:p>
        </w:tc>
        <w:tc>
          <w:tcPr>
            <w:tcW w:type="pct" w:w="2507"/>
            <w:tcMar>
              <w:top w:type="dxa" w:w="50"/>
              <w:left w:type="dxa" w:w="110"/>
              <w:bottom w:type="dxa" w:w="50"/>
              <w:right w:type="dxa" w:w="110"/>
            </w:tcMar>
          </w:tcPr>
          <w:p>
            <w:pPr>
              <w:spacing w:before="26" w:after="26"/>
            </w:pPr>
            <w:r>
              <w:rPr>
                <w:color w:val="232733"/>
                <w:sz w:val="16"/>
                <w:szCs w:val="16"/>
              </w:rPr>
              <w:t xml:space="preserve">سعر التحويل بالتكلفة المتغيرة</w:t>
            </w:r>
          </w:p>
        </w:tc>
      </w:tr>
      <w:tr>
        <w:tc>
          <w:tcPr>
            <w:tcW w:type="pct" w:w="2493"/>
            <w:shd w:fill="FBFAF6" w:val="clear"/>
            <w:tcMar>
              <w:top w:type="dxa" w:w="50"/>
              <w:left w:type="dxa" w:w="110"/>
              <w:bottom w:type="dxa" w:w="50"/>
              <w:right w:type="dxa" w:w="110"/>
            </w:tcMar>
          </w:tcPr>
          <w:p>
            <w:pPr>
              <w:spacing w:before="26" w:after="26"/>
            </w:pPr>
            <w:r>
              <w:rPr>
                <w:color w:val="232733"/>
                <w:sz w:val="16"/>
                <w:szCs w:val="16"/>
              </w:rPr>
              <w:t xml:space="preserve">full-cost transfer price</w:t>
            </w:r>
          </w:p>
        </w:tc>
        <w:tc>
          <w:tcPr>
            <w:tcW w:type="pct" w:w="2507"/>
            <w:shd w:fill="FBFAF6" w:val="clear"/>
            <w:tcMar>
              <w:top w:type="dxa" w:w="50"/>
              <w:left w:type="dxa" w:w="110"/>
              <w:bottom w:type="dxa" w:w="50"/>
              <w:right w:type="dxa" w:w="110"/>
            </w:tcMar>
          </w:tcPr>
          <w:p>
            <w:pPr>
              <w:spacing w:before="26" w:after="26"/>
            </w:pPr>
            <w:r>
              <w:rPr>
                <w:color w:val="232733"/>
                <w:sz w:val="16"/>
                <w:szCs w:val="16"/>
              </w:rPr>
              <w:t xml:space="preserve">سعر التحويل بالتكلفة الكلية</w:t>
            </w:r>
          </w:p>
        </w:tc>
      </w:tr>
      <w:tr>
        <w:tc>
          <w:tcPr>
            <w:tcW w:type="pct" w:w="2493"/>
            <w:tcMar>
              <w:top w:type="dxa" w:w="50"/>
              <w:left w:type="dxa" w:w="110"/>
              <w:bottom w:type="dxa" w:w="50"/>
              <w:right w:type="dxa" w:w="110"/>
            </w:tcMar>
          </w:tcPr>
          <w:p>
            <w:pPr>
              <w:spacing w:before="26" w:after="26"/>
            </w:pPr>
            <w:r>
              <w:rPr>
                <w:color w:val="232733"/>
                <w:sz w:val="16"/>
                <w:szCs w:val="16"/>
              </w:rPr>
              <w:t xml:space="preserve">market-based transfer price</w:t>
            </w:r>
          </w:p>
        </w:tc>
        <w:tc>
          <w:tcPr>
            <w:tcW w:type="pct" w:w="2507"/>
            <w:tcMar>
              <w:top w:type="dxa" w:w="50"/>
              <w:left w:type="dxa" w:w="110"/>
              <w:bottom w:type="dxa" w:w="50"/>
              <w:right w:type="dxa" w:w="110"/>
            </w:tcMar>
          </w:tcPr>
          <w:p>
            <w:pPr>
              <w:spacing w:before="26" w:after="26"/>
            </w:pPr>
            <w:r>
              <w:rPr>
                <w:color w:val="232733"/>
                <w:sz w:val="16"/>
                <w:szCs w:val="16"/>
              </w:rPr>
              <w:t xml:space="preserve">سعر التحويل على أساس السوق</w:t>
            </w:r>
          </w:p>
        </w:tc>
      </w:tr>
      <w:tr>
        <w:tc>
          <w:tcPr>
            <w:tcW w:type="pct" w:w="2493"/>
            <w:shd w:fill="FBFAF6" w:val="clear"/>
            <w:tcMar>
              <w:top w:type="dxa" w:w="50"/>
              <w:left w:type="dxa" w:w="110"/>
              <w:bottom w:type="dxa" w:w="50"/>
              <w:right w:type="dxa" w:w="110"/>
            </w:tcMar>
          </w:tcPr>
          <w:p>
            <w:pPr>
              <w:spacing w:before="26" w:after="26"/>
            </w:pPr>
            <w:r>
              <w:rPr>
                <w:color w:val="232733"/>
                <w:sz w:val="16"/>
                <w:szCs w:val="16"/>
              </w:rPr>
              <w:t xml:space="preserve">negotiated transfer price</w:t>
            </w:r>
          </w:p>
        </w:tc>
        <w:tc>
          <w:tcPr>
            <w:tcW w:type="pct" w:w="2507"/>
            <w:shd w:fill="FBFAF6" w:val="clear"/>
            <w:tcMar>
              <w:top w:type="dxa" w:w="50"/>
              <w:left w:type="dxa" w:w="110"/>
              <w:bottom w:type="dxa" w:w="50"/>
              <w:right w:type="dxa" w:w="110"/>
            </w:tcMar>
          </w:tcPr>
          <w:p>
            <w:pPr>
              <w:spacing w:before="26" w:after="26"/>
            </w:pPr>
            <w:r>
              <w:rPr>
                <w:color w:val="232733"/>
                <w:sz w:val="16"/>
                <w:szCs w:val="16"/>
              </w:rPr>
              <w:t xml:space="preserve">سعر التحويل المتفاوض عليه</w:t>
            </w:r>
          </w:p>
        </w:tc>
      </w:tr>
      <w:tr>
        <w:tc>
          <w:tcPr>
            <w:tcW w:type="pct" w:w="2493"/>
            <w:tcMar>
              <w:top w:type="dxa" w:w="50"/>
              <w:left w:type="dxa" w:w="110"/>
              <w:bottom w:type="dxa" w:w="50"/>
              <w:right w:type="dxa" w:w="110"/>
            </w:tcMar>
          </w:tcPr>
          <w:p>
            <w:pPr>
              <w:spacing w:before="26" w:after="26"/>
            </w:pPr>
            <w:r>
              <w:rPr>
                <w:color w:val="232733"/>
                <w:sz w:val="16"/>
                <w:szCs w:val="16"/>
              </w:rPr>
              <w:t xml:space="preserve">dual-rate transfer pricing</w:t>
            </w:r>
          </w:p>
        </w:tc>
        <w:tc>
          <w:tcPr>
            <w:tcW w:type="pct" w:w="2507"/>
            <w:tcMar>
              <w:top w:type="dxa" w:w="50"/>
              <w:left w:type="dxa" w:w="110"/>
              <w:bottom w:type="dxa" w:w="50"/>
              <w:right w:type="dxa" w:w="110"/>
            </w:tcMar>
          </w:tcPr>
          <w:p>
            <w:pPr>
              <w:spacing w:before="26" w:after="26"/>
            </w:pPr>
            <w:r>
              <w:rPr>
                <w:color w:val="232733"/>
                <w:sz w:val="16"/>
                <w:szCs w:val="16"/>
              </w:rPr>
              <w:t xml:space="preserve">التسعير التحويلي المزدوج</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16.2  Five ways of setting the price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prices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Dual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negotiate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Dual-rate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credits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Supplier earns nothing; looks like a poor performer</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together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Simple; covers the supplier's costs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between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Respects autonomy; managers know their own costs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$1.10 / $0.50</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double-counted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delivered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everywhere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variable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reporting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Full cost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full-cost transfer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Market price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negotiated transfer price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Companies set transfer prices in five ways: at the supplier's variable cost, at its full cost, at the market price, at a price the two managers negotiate, or at two different rates for the two sides.</w:t>
      </w:r>
    </w:p>
    <w:p>
      <w:pPr>
        <w:spacing w:before="20" w:after="20"/>
        <w:ind w:left="240" w:hanging="240"/>
      </w:pPr>
      <w:r>
        <w:rPr>
          <w:b/>
          <w:bCs/>
          <w:color w:val="353A7C"/>
          <w:sz w:val="15"/>
          <w:szCs w:val="15"/>
        </w:rPr>
        <w:t xml:space="preserve">Summary 2   </w:t>
      </w:r>
      <w:r>
        <w:rPr>
          <w:color w:val="6B7280"/>
          <w:sz w:val="15"/>
          <w:szCs w:val="15"/>
        </w:rPr>
        <w:t xml:space="preserve">Beverages needs 900,000 cases delivered. At variable cost Levant earns nothing on the work and Beverages keeps $6,930,000; at market price Levant earns $540,000.</w:t>
      </w:r>
    </w:p>
    <w:p>
      <w:pPr>
        <w:spacing w:before="20" w:after="20"/>
        <w:ind w:left="240" w:hanging="240"/>
      </w:pPr>
      <w:r>
        <w:rPr>
          <w:b/>
          <w:bCs/>
          <w:color w:val="353A7C"/>
          <w:sz w:val="15"/>
          <w:szCs w:val="15"/>
        </w:rPr>
        <w:t xml:space="preserve">Summary 3   </w:t>
      </w:r>
      <w:r>
        <w:rPr>
          <w:color w:val="6B7280"/>
          <w:sz w:val="15"/>
          <w:szCs w:val="15"/>
        </w:rPr>
        <w:t xml:space="preserve">Complete the blank cells. Dual-rate transfer pricing credits Levant with the market price and charges Beverages only the variable cost, so each manager faces the figure that leads to the right decision. The $540,000 difference is removed when the divisions are added together.</w:t>
      </w:r>
    </w:p>
    <w:p>
      <w:pPr>
        <w:spacing w:before="20" w:after="20"/>
        <w:ind w:left="240" w:hanging="240"/>
      </w:pPr>
      <w:r>
        <w:rPr>
          <w:b/>
          <w:bCs/>
          <w:color w:val="353A7C"/>
          <w:sz w:val="15"/>
          <w:szCs w:val="15"/>
        </w:rPr>
        <w:t xml:space="preserve">Summary 4   </w:t>
      </w:r>
      <w:r>
        <w:rPr>
          <w:color w:val="6B7280"/>
          <w:sz w:val="15"/>
          <w:szCs w:val="15"/>
        </w:rPr>
        <w:t xml:space="preserve">Changing a transfer price moves profit between divisions. If an answer shows the company better or worse off because of the price alone, something has been double-counted. No method is right everywhere. A market price suits a product with an outside market, a negotiated price suits one without, and dual rates suit a case where the right decision and fair reporting pull apart.</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16.3  The range: minimum and maximum</w:t>
            </w:r>
          </w:p>
          <w:p>
            <w:pPr>
              <w:spacing w:before="0" w:after="46"/>
            </w:pPr>
            <w:r>
              <w:rPr>
                <w:color w:val="E8EAF6"/>
                <w:sz w:val="16"/>
                <w:szCs w:val="16"/>
              </w:rPr>
              <w:t xml:space="preserve">Chapter 16 · section 16.3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minimum transfer price is what the supplier must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be no worse off: variable cost plus the opportunity cost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it gives up. </w:t>
      </w:r>
      <w:r>
        <w:rPr>
          <w:sz w:val="19"/>
          <w:szCs w:val="19"/>
        </w:rPr>
        <w:t xml:space="preserve">The maximum is what the buyer could pay outside. </w:t>
      </w:r>
      <w:r>
        <w:rPr>
          <w:sz w:val="19"/>
          <w:szCs w:val="19"/>
        </w:rPr>
        <w:t xml:space="preserve">When the minimum is below the maximum, a range exists and any price inside it leaves both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better off. </w:t>
      </w:r>
      <w:r>
        <w:rPr>
          <w:sz w:val="19"/>
          <w:szCs w:val="19"/>
        </w:rPr>
        <w:t xml:space="preserve">When the minimum is above the maximum, the company should not transfer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internally   ·   divisions   ·   supplier   ·   receive   ·   anything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490"/>
        <w:gridCol w:w="2244"/>
        <w:gridCol w:w="386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minimum and maximum transfer price</w:t>
            </w:r>
          </w:p>
        </w:tc>
      </w:tr>
      <w:tr>
        <w:tc>
          <w:tcPr>
            <w:tcW w:type="pct" w:w="1818"/>
            <w:shd w:fill="353A7C" w:val="clear"/>
            <w:tcMar>
              <w:top w:type="dxa" w:w="50"/>
              <w:left w:type="dxa" w:w="110"/>
              <w:bottom w:type="dxa" w:w="50"/>
              <w:right w:type="dxa" w:w="110"/>
            </w:tcMar>
          </w:tcPr>
          <w:p>
            <w:pPr>
              <w:spacing w:before="30" w:after="30"/>
            </w:pPr>
            <w:r>
              <w:rPr>
                <w:b/>
                <w:bCs/>
                <w:color w:val="FFFFFF"/>
                <w:sz w:val="15"/>
                <w:szCs w:val="15"/>
              </w:rPr>
              <w:t xml:space="preserve">Rule (C.2.j)</w:t>
            </w:r>
          </w:p>
        </w:tc>
        <w:tc>
          <w:tcPr>
            <w:tcW w:type="pct" w:w="1169"/>
            <w:shd w:fill="353A7C" w:val="clear"/>
            <w:tcMar>
              <w:top w:type="dxa" w:w="50"/>
              <w:left w:type="dxa" w:w="110"/>
              <w:bottom w:type="dxa" w:w="50"/>
              <w:right w:type="dxa" w:w="110"/>
            </w:tcMar>
          </w:tcPr>
          <w:p>
            <w:pPr>
              <w:spacing w:before="30" w:after="30"/>
            </w:pPr>
            <w:r>
              <w:rPr>
                <w:b/>
                <w:bCs/>
                <w:color w:val="FFFFFF"/>
                <w:sz w:val="15"/>
                <w:szCs w:val="15"/>
              </w:rPr>
              <w:t xml:space="preserve">Formula</w:t>
            </w:r>
          </w:p>
        </w:tc>
        <w:tc>
          <w:tcPr>
            <w:tcW w:type="pct" w:w="2013"/>
            <w:shd w:fill="353A7C" w:val="clear"/>
            <w:tcMar>
              <w:top w:type="dxa" w:w="50"/>
              <w:left w:type="dxa" w:w="110"/>
              <w:bottom w:type="dxa" w:w="50"/>
              <w:right w:type="dxa" w:w="110"/>
            </w:tcMar>
          </w:tcPr>
          <w:p>
            <w:pPr>
              <w:spacing w:before="30" w:after="30"/>
            </w:pPr>
            <w:r>
              <w:rPr>
                <w:b/>
                <w:bCs/>
                <w:color w:val="FFFFFF"/>
                <w:sz w:val="15"/>
                <w:szCs w:val="15"/>
              </w:rPr>
              <w:t xml:space="preserve">Levant and Beverages</w:t>
            </w:r>
          </w:p>
        </w:tc>
      </w:tr>
      <w:tr>
        <w:tc>
          <w:tcPr>
            <w:tcW w:type="pct" w:w="1818"/>
            <w:tcMar>
              <w:top w:type="dxa" w:w="50"/>
              <w:left w:type="dxa" w:w="110"/>
              <w:bottom w:type="dxa" w:w="50"/>
              <w:right w:type="dxa" w:w="110"/>
            </w:tcMar>
          </w:tcPr>
          <w:p>
            <w:pPr>
              <w:spacing w:before="28" w:after="28"/>
            </w:pPr>
            <w:r>
              <w:rPr>
                <w:sz w:val="15"/>
                <w:szCs w:val="15"/>
              </w:rPr>
              <w:t xml:space="preserve">Minimum (the supplier will not go below)</w:t>
            </w:r>
          </w:p>
        </w:tc>
        <w:tc>
          <w:tcPr>
            <w:tcW w:type="pct" w:w="1169"/>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13"/>
            <w:tcMar>
              <w:top w:type="dxa" w:w="50"/>
              <w:left w:type="dxa" w:w="110"/>
              <w:bottom w:type="dxa" w:w="50"/>
              <w:right w:type="dxa" w:w="110"/>
            </w:tcMar>
          </w:tcPr>
          <w:p>
            <w:pPr>
              <w:spacing w:before="28" w:after="28"/>
            </w:pPr>
            <w:r>
              <w:rPr>
                <w:sz w:val="15"/>
                <w:szCs w:val="15"/>
              </w:rPr>
              <w:t xml:space="preserve">$0.50 with spare capacity; $1.10 at full capacity</w:t>
            </w:r>
          </w:p>
        </w:tc>
      </w:tr>
      <w:tr>
        <w:tc>
          <w:tcPr>
            <w:tcW w:type="pct" w:w="1818"/>
            <w:shd w:fill="FBFAF6" w:val="clear"/>
            <w:tcMar>
              <w:top w:type="dxa" w:w="50"/>
              <w:left w:type="dxa" w:w="110"/>
              <w:bottom w:type="dxa" w:w="50"/>
              <w:right w:type="dxa" w:w="110"/>
            </w:tcMar>
          </w:tcPr>
          <w:p>
            <w:pPr>
              <w:spacing w:before="28" w:after="28"/>
            </w:pPr>
            <w:r>
              <w:rPr>
                <w:sz w:val="15"/>
                <w:szCs w:val="15"/>
              </w:rPr>
              <w:t xml:space="preserve">Maximum (the buyer will not go above)</w:t>
            </w:r>
          </w:p>
        </w:tc>
        <w:tc>
          <w:tcPr>
            <w:tcW w:type="pct" w:w="1169"/>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013"/>
            <w:shd w:fill="FBFAF6" w:val="clear"/>
            <w:tcMar>
              <w:top w:type="dxa" w:w="50"/>
              <w:left w:type="dxa" w:w="110"/>
              <w:bottom w:type="dxa" w:w="50"/>
              <w:right w:type="dxa" w:w="110"/>
            </w:tcMar>
          </w:tcPr>
          <w:p>
            <w:pPr>
              <w:spacing w:before="28" w:after="28"/>
            </w:pPr>
            <w:r>
              <w:rPr>
                <w:sz w:val="15"/>
                <w:szCs w:val="15"/>
              </w:rPr>
              <w:t xml:space="preserve">$1.00 from the outside carrier</w:t>
            </w:r>
          </w:p>
        </w:tc>
      </w:tr>
      <w:tr>
        <w:tc>
          <w:tcPr>
            <w:tcW w:type="pct" w:w="1818"/>
            <w:tcMar>
              <w:top w:type="dxa" w:w="50"/>
              <w:left w:type="dxa" w:w="110"/>
              <w:bottom w:type="dxa" w:w="50"/>
              <w:right w:type="dxa" w:w="110"/>
            </w:tcMar>
          </w:tcPr>
          <w:p>
            <w:pPr>
              <w:spacing w:before="28" w:after="28"/>
            </w:pPr>
            <w:r>
              <w:rPr>
                <w:sz w:val="15"/>
                <w:szCs w:val="15"/>
              </w:rPr>
              <w:t xml:space="preserve">If minimum is below maximum</w:t>
            </w:r>
          </w:p>
        </w:tc>
        <w:tc>
          <w:tcPr>
            <w:tcW w:type="pct" w:w="1169"/>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013"/>
            <w:tcMar>
              <w:top w:type="dxa" w:w="50"/>
              <w:left w:type="dxa" w:w="110"/>
              <w:bottom w:type="dxa" w:w="50"/>
              <w:right w:type="dxa" w:w="110"/>
            </w:tcMar>
          </w:tcPr>
          <w:p>
            <w:pPr>
              <w:spacing w:before="28" w:after="28"/>
            </w:pPr>
            <w:r>
              <w:rPr>
                <w:sz w:val="15"/>
                <w:szCs w:val="15"/>
              </w:rPr>
              <w:t xml:space="preserve">$0.50 to $1.00 with spare capacity</w:t>
            </w:r>
          </w:p>
        </w:tc>
      </w:tr>
      <w:tr>
        <w:tc>
          <w:tcPr>
            <w:tcW w:type="pct" w:w="1818"/>
            <w:shd w:fill="FBFAF6" w:val="clear"/>
            <w:tcMar>
              <w:top w:type="dxa" w:w="50"/>
              <w:left w:type="dxa" w:w="110"/>
              <w:bottom w:type="dxa" w:w="50"/>
              <w:right w:type="dxa" w:w="110"/>
            </w:tcMar>
          </w:tcPr>
          <w:p>
            <w:pPr>
              <w:spacing w:before="28" w:after="28"/>
            </w:pPr>
            <w:r>
              <w:rPr>
                <w:sz w:val="15"/>
                <w:szCs w:val="15"/>
              </w:rPr>
              <w:t xml:space="preserve">If minimum is above maximum</w:t>
            </w:r>
          </w:p>
        </w:tc>
        <w:tc>
          <w:tcPr>
            <w:tcW w:type="pct" w:w="1169"/>
            <w:shd w:fill="FBFAF6" w:val="clear"/>
            <w:tcMar>
              <w:top w:type="dxa" w:w="50"/>
              <w:left w:type="dxa" w:w="110"/>
              <w:bottom w:type="dxa" w:w="50"/>
              <w:right w:type="dxa" w:w="110"/>
            </w:tcMar>
          </w:tcPr>
          <w:p>
            <w:pPr>
              <w:spacing w:before="28" w:after="28"/>
            </w:pPr>
            <w:r>
              <w:rPr>
                <w:sz w:val="15"/>
                <w:szCs w:val="15"/>
              </w:rPr>
              <w:t xml:space="preserve">no internal transfer should happen</w:t>
            </w:r>
          </w:p>
        </w:tc>
        <w:tc>
          <w:tcPr>
            <w:tcW w:type="pct" w:w="2013"/>
            <w:shd w:fill="FFFFFF" w:val="clear"/>
            <w:tcMar>
              <w:top w:type="dxa" w:w="50"/>
              <w:left w:type="dxa" w:w="110"/>
              <w:bottom w:type="dxa" w:w="50"/>
              <w:right w:type="dxa" w:w="110"/>
            </w:tcMar>
          </w:tcPr>
          <w:p>
            <w:pPr>
              <w:spacing w:before="46" w:after="46"/>
            </w:pPr>
            <w:r>
              <w:rPr>
                <w:b/>
                <w:bCs/>
                <w:color w:val="8186EF"/>
                <w:sz w:val="14"/>
                <w:szCs w:val="14"/>
              </w:rPr>
              <w:t xml:space="preserve">(8)</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price of buying outside   ·   variable cost + opportunity cost   ·   $0.50 with spare capacity; $1.10 at full capacity   ·   a range exists; any price inside it suits both   ·   At full capacity, because $1.10 is above $1.00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9"/>
        <w:gridCol w:w="481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4"/>
            <w:tcMar>
              <w:top w:type="dxa" w:w="50"/>
              <w:left w:type="dxa" w:w="110"/>
              <w:bottom w:type="dxa" w:w="50"/>
              <w:right w:type="dxa" w:w="110"/>
            </w:tcMar>
          </w:tcPr>
          <w:p>
            <w:pPr>
              <w:spacing w:before="26" w:after="26"/>
            </w:pPr>
            <w:r>
              <w:rPr>
                <w:color w:val="232733"/>
                <w:sz w:val="16"/>
                <w:szCs w:val="16"/>
              </w:rPr>
              <w:t xml:space="preserve">minimum transfer price</w:t>
            </w:r>
          </w:p>
        </w:tc>
        <w:tc>
          <w:tcPr>
            <w:tcW w:type="pct" w:w="2506"/>
            <w:tcMar>
              <w:top w:type="dxa" w:w="50"/>
              <w:left w:type="dxa" w:w="110"/>
              <w:bottom w:type="dxa" w:w="50"/>
              <w:right w:type="dxa" w:w="110"/>
            </w:tcMar>
          </w:tcPr>
          <w:p>
            <w:pPr>
              <w:spacing w:before="26" w:after="26"/>
            </w:pPr>
            <w:r>
              <w:rPr>
                <w:color w:val="232733"/>
                <w:sz w:val="16"/>
                <w:szCs w:val="16"/>
              </w:rPr>
              <w:t xml:space="preserve">الحد الأدنى لسعر التحويل</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16.3  The range: minimum and maximum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receive</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variable cost + opportunity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anything</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the price of buying outside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 range exists; any price inside it suits both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internally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At full capacity, because $1.10 is above $1.00</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minimum transfer price is what the supplier must receive to be no worse off: variable cost plus the opportunity cost of anything it gives up. The maximum is what the buyer could pay outside. When the minimum is below the maximum, a range exists and any price inside it leaves both divisions better off. When the minimum is above the maximum, the company should not transfer internally.</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16.4  Capacity and outside suppliers</w:t>
            </w:r>
          </w:p>
          <w:p>
            <w:pPr>
              <w:spacing w:before="0" w:after="46"/>
            </w:pPr>
            <w:r>
              <w:rPr>
                <w:color w:val="E8EAF6"/>
                <w:sz w:val="16"/>
                <w:szCs w:val="16"/>
              </w:rPr>
              <w:t xml:space="preserve">Chapter 16 · section 16.4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Everything turns on the opportunity cost, and that depends on capacity.</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outside carrier's offer</w:t>
            </w:r>
          </w:p>
        </w:tc>
      </w:tr>
    </w:tbl>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An outside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offers Beverages $1.00 a case. </w:t>
      </w:r>
      <w:r>
        <w:rPr>
          <w:sz w:val="19"/>
          <w:szCs w:val="19"/>
        </w:rPr>
        <w:t xml:space="preserve">With spare capacity, the company's real cost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inside is only $0.50, so going outside would cost $450,000 a year. </w:t>
      </w:r>
      <w:r>
        <w:rPr>
          <w:sz w:val="19"/>
          <w:szCs w:val="19"/>
        </w:rPr>
        <w:t xml:space="preserve">At full capacity the real cost is $1.10, so going outside would save $90,000.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delivering   ·   carrier   ·   transfer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007"/>
        <w:gridCol w:w="1781"/>
        <w:gridCol w:w="1091"/>
        <w:gridCol w:w="372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Worked example: should Beverages use the outside carrier?</w:t>
            </w:r>
          </w:p>
        </w:tc>
      </w:tr>
      <w:tr>
        <w:tc>
          <w:tcPr>
            <w:tcW w:type="pct" w:w="1566"/>
            <w:shd w:fill="353A7C" w:val="clear"/>
            <w:tcMar>
              <w:top w:type="dxa" w:w="50"/>
              <w:left w:type="dxa" w:w="110"/>
              <w:bottom w:type="dxa" w:w="50"/>
              <w:right w:type="dxa" w:w="110"/>
            </w:tcMar>
          </w:tcPr>
          <w:p>
            <w:pPr>
              <w:spacing w:before="30" w:after="30"/>
            </w:pPr>
            <w:r>
              <w:rPr>
                <w:b/>
                <w:bCs/>
                <w:color w:val="FFFFFF"/>
                <w:sz w:val="15"/>
                <w:szCs w:val="15"/>
              </w:rPr>
              <w:t xml:space="preserve">Situation</w:t>
            </w:r>
          </w:p>
        </w:tc>
        <w:tc>
          <w:tcPr>
            <w:tcW w:type="pct" w:w="928"/>
            <w:shd w:fill="353A7C" w:val="clear"/>
            <w:tcMar>
              <w:top w:type="dxa" w:w="50"/>
              <w:left w:type="dxa" w:w="110"/>
              <w:bottom w:type="dxa" w:w="50"/>
              <w:right w:type="dxa" w:w="110"/>
            </w:tcMar>
          </w:tcPr>
          <w:p>
            <w:pPr>
              <w:spacing w:before="30" w:after="30"/>
            </w:pPr>
            <w:r>
              <w:rPr>
                <w:b/>
                <w:bCs/>
                <w:color w:val="FFFFFF"/>
                <w:sz w:val="15"/>
                <w:szCs w:val="15"/>
              </w:rPr>
              <w:t xml:space="preserve">Company's cost of supplying inside</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Outside offer</w:t>
            </w:r>
          </w:p>
        </w:tc>
        <w:tc>
          <w:tcPr>
            <w:tcW w:type="pct" w:w="1938"/>
            <w:shd w:fill="353A7C" w:val="clear"/>
            <w:tcMar>
              <w:top w:type="dxa" w:w="50"/>
              <w:left w:type="dxa" w:w="110"/>
              <w:bottom w:type="dxa" w:w="50"/>
              <w:right w:type="dxa" w:w="110"/>
            </w:tcMar>
          </w:tcPr>
          <w:p>
            <w:pPr>
              <w:spacing w:before="30" w:after="30"/>
            </w:pPr>
            <w:r>
              <w:rPr>
                <w:b/>
                <w:bCs/>
                <w:color w:val="FFFFFF"/>
                <w:sz w:val="15"/>
                <w:szCs w:val="15"/>
              </w:rPr>
              <w:t xml:space="preserve">Effect of buying outside</w:t>
            </w:r>
          </w:p>
        </w:tc>
      </w:tr>
      <w:tr>
        <w:tc>
          <w:tcPr>
            <w:tcW w:type="pct" w:w="1566"/>
            <w:tcMar>
              <w:top w:type="dxa" w:w="50"/>
              <w:left w:type="dxa" w:w="110"/>
              <w:bottom w:type="dxa" w:w="50"/>
              <w:right w:type="dxa" w:w="110"/>
            </w:tcMar>
          </w:tcPr>
          <w:p>
            <w:pPr>
              <w:spacing w:before="28" w:after="28"/>
            </w:pPr>
            <w:r>
              <w:rPr>
                <w:sz w:val="15"/>
                <w:szCs w:val="15"/>
              </w:rPr>
              <w:t xml:space="preserve">Levant has spare capacity</w:t>
            </w:r>
          </w:p>
        </w:tc>
        <w:tc>
          <w:tcPr>
            <w:tcW w:type="pct" w:w="928"/>
            <w:tcMar>
              <w:top w:type="dxa" w:w="50"/>
              <w:left w:type="dxa" w:w="110"/>
              <w:bottom w:type="dxa" w:w="50"/>
              <w:right w:type="dxa" w:w="110"/>
            </w:tcMar>
          </w:tcPr>
          <w:p>
            <w:pPr>
              <w:spacing w:before="28" w:after="28"/>
            </w:pPr>
            <w:r>
              <w:rPr>
                <w:sz w:val="15"/>
                <w:szCs w:val="15"/>
              </w:rPr>
              <w:t xml:space="preserve">$0.50</w:t>
            </w:r>
          </w:p>
        </w:tc>
        <w:tc>
          <w:tcPr>
            <w:tcW w:type="pct" w:w="568"/>
            <w:tcMar>
              <w:top w:type="dxa" w:w="50"/>
              <w:left w:type="dxa" w:w="110"/>
              <w:bottom w:type="dxa" w:w="50"/>
              <w:right w:type="dxa" w:w="110"/>
            </w:tcMar>
          </w:tcPr>
          <w:p>
            <w:pPr>
              <w:spacing w:before="28" w:after="28"/>
            </w:pPr>
            <w:r>
              <w:rPr>
                <w:sz w:val="15"/>
                <w:szCs w:val="15"/>
              </w:rPr>
              <w:t xml:space="preserve">$1.00</w:t>
            </w:r>
          </w:p>
        </w:tc>
        <w:tc>
          <w:tcPr>
            <w:tcW w:type="pct" w:w="1938"/>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supply inside</w:t>
            </w:r>
          </w:p>
        </w:tc>
      </w:tr>
      <w:tr>
        <w:tc>
          <w:tcPr>
            <w:tcW w:type="pct" w:w="1566"/>
            <w:shd w:fill="FBFAF6" w:val="clear"/>
            <w:tcMar>
              <w:top w:type="dxa" w:w="50"/>
              <w:left w:type="dxa" w:w="110"/>
              <w:bottom w:type="dxa" w:w="50"/>
              <w:right w:type="dxa" w:w="110"/>
            </w:tcMar>
          </w:tcPr>
          <w:p>
            <w:pPr>
              <w:spacing w:before="28" w:after="28"/>
            </w:pPr>
            <w:r>
              <w:rPr>
                <w:sz w:val="15"/>
                <w:szCs w:val="15"/>
              </w:rPr>
              <w:t xml:space="preserve">Levant is at full capacity</w:t>
            </w:r>
          </w:p>
        </w:tc>
        <w:tc>
          <w:tcPr>
            <w:tcW w:type="pct" w:w="928"/>
            <w:shd w:fill="FBFAF6" w:val="clear"/>
            <w:tcMar>
              <w:top w:type="dxa" w:w="50"/>
              <w:left w:type="dxa" w:w="110"/>
              <w:bottom w:type="dxa" w:w="50"/>
              <w:right w:type="dxa" w:w="110"/>
            </w:tcMar>
          </w:tcPr>
          <w:p>
            <w:pPr>
              <w:spacing w:before="28" w:after="28"/>
            </w:pPr>
            <w:r>
              <w:rPr>
                <w:sz w:val="15"/>
                <w:szCs w:val="15"/>
              </w:rPr>
              <w:t xml:space="preserve">$1.10</w:t>
            </w:r>
          </w:p>
        </w:tc>
        <w:tc>
          <w:tcPr>
            <w:tcW w:type="pct" w:w="568"/>
            <w:shd w:fill="FBFAF6" w:val="clear"/>
            <w:tcMar>
              <w:top w:type="dxa" w:w="50"/>
              <w:left w:type="dxa" w:w="110"/>
              <w:bottom w:type="dxa" w:w="50"/>
              <w:right w:type="dxa" w:w="110"/>
            </w:tcMar>
          </w:tcPr>
          <w:p>
            <w:pPr>
              <w:spacing w:before="28" w:after="28"/>
            </w:pPr>
            <w:r>
              <w:rPr>
                <w:sz w:val="15"/>
                <w:szCs w:val="15"/>
              </w:rPr>
              <w:t xml:space="preserve">$1.00</w:t>
            </w:r>
          </w:p>
        </w:tc>
        <w:tc>
          <w:tcPr>
            <w:tcW w:type="pct" w:w="1938"/>
            <w:shd w:fill="FBFAF6" w:val="clear"/>
            <w:tcMar>
              <w:top w:type="dxa" w:w="50"/>
              <w:left w:type="dxa" w:w="110"/>
              <w:bottom w:type="dxa" w:w="50"/>
              <w:right w:type="dxa" w:w="110"/>
            </w:tcMar>
          </w:tcPr>
          <w:p>
            <w:pPr>
              <w:spacing w:before="28" w:after="28"/>
            </w:pPr>
            <w:r>
              <w:rPr>
                <w:sz w:val="15"/>
                <w:szCs w:val="15"/>
              </w:rPr>
              <w:t xml:space="preserve">Company gains $90,000: buy outside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Company loses $450,000   ·   minimum transfer price</w:t>
            </w:r>
          </w:p>
        </w:tc>
      </w:tr>
    </w:tbl>
    <w:p/>
    <w:p>
      <w:pPr>
        <w:spacing w:before="44" w:after="14"/>
      </w:pPr>
      <w:r>
        <w:rPr>
          <w:b/>
          <w:bCs/>
          <w:color w:val="353A7C"/>
          <w:sz w:val="18"/>
          <w:szCs w:val="18"/>
        </w:rPr>
        <w:t xml:space="preserve">Summary 2</w:t>
      </w:r>
      <w:r>
        <w:rPr>
          <w:color w:val="6B7280"/>
          <w:sz w:val="16"/>
          <w:szCs w:val="16"/>
        </w:rPr>
        <w:t xml:space="preserve">      gaps 4–6</w:t>
      </w:r>
    </w:p>
    <w:p>
      <w:pPr>
        <w:spacing w:before="20" w:after="20" w:line="360" w:lineRule="auto"/>
        <w:ind w:left="200"/>
      </w:pPr>
      <w:r>
        <w:rPr>
          <w:sz w:val="19"/>
          <w:szCs w:val="19"/>
        </w:rPr>
        <w:t xml:space="preserve">This is why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transfer price can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At $0.80 a case, Beverages sees a cost above the outside offer and refuses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supply, even though the company is better off supplying inside whenever Levant has spare capacity.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mislead   ·   internal   ·   contribution   ·   full-cost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Ask about capacity first</w:t>
            </w:r>
          </w:p>
        </w:tc>
      </w:tr>
    </w:tbl>
    <w:p/>
    <w:p>
      <w:pPr>
        <w:spacing w:before="44" w:after="14"/>
      </w:pPr>
      <w:r>
        <w:rPr>
          <w:b/>
          <w:bCs/>
          <w:color w:val="353A7C"/>
          <w:sz w:val="18"/>
          <w:szCs w:val="18"/>
        </w:rPr>
        <w:t xml:space="preserve">Summary 3</w:t>
      </w:r>
      <w:r>
        <w:rPr>
          <w:color w:val="6B7280"/>
          <w:sz w:val="16"/>
          <w:szCs w:val="16"/>
        </w:rPr>
        <w:t xml:space="preserve">      gaps 7–9</w:t>
      </w:r>
    </w:p>
    <w:p>
      <w:pPr>
        <w:spacing w:before="20" w:after="20" w:line="360" w:lineRule="auto"/>
        <w:ind w:left="200"/>
      </w:pP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transfer price cannot be found without knowing whether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has spare capacity. </w:t>
      </w:r>
      <w:r>
        <w:rPr>
          <w:sz w:val="19"/>
          <w:szCs w:val="19"/>
        </w:rPr>
        <w:t xml:space="preserve">With spare capacity there is no opportunity cost; at capacity the opportunity cost is the lost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margin.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minimum   ·   contribution   ·   Everything   ·   supplier</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market-based transfer price   ·   minimum transfer price</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16.4  Capacity and outside suppliers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carrier</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internal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delivering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minimum</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Company loses $450,000</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supplier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full-cost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contribution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mislead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minimum transfer price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outside carrier offers Beverages $1.00 a case. With spare capacity, the company's real cost of delivering inside is only $0.50, so going outside would cost $450,000 a year. At full capacity the real cost is $1.10, so going outside would save $90,000.</w:t>
      </w:r>
    </w:p>
    <w:p>
      <w:pPr>
        <w:spacing w:before="20" w:after="20"/>
        <w:ind w:left="240" w:hanging="240"/>
      </w:pPr>
      <w:r>
        <w:rPr>
          <w:b/>
          <w:bCs/>
          <w:color w:val="353A7C"/>
          <w:sz w:val="15"/>
          <w:szCs w:val="15"/>
        </w:rPr>
        <w:t xml:space="preserve">Summary 2   </w:t>
      </w:r>
      <w:r>
        <w:rPr>
          <w:color w:val="6B7280"/>
          <w:sz w:val="15"/>
          <w:szCs w:val="15"/>
        </w:rPr>
        <w:t xml:space="preserve">This is why a full-cost transfer price can mislead. At $0.80 a case, Beverages sees a cost above the outside offer and refuses internal supply, even though the company is better off supplying inside whenever Levant has spare capacity.</w:t>
      </w:r>
    </w:p>
    <w:p>
      <w:pPr>
        <w:spacing w:before="20" w:after="20"/>
        <w:ind w:left="240" w:hanging="240"/>
      </w:pPr>
      <w:r>
        <w:rPr>
          <w:b/>
          <w:bCs/>
          <w:color w:val="353A7C"/>
          <w:sz w:val="15"/>
          <w:szCs w:val="15"/>
        </w:rPr>
        <w:t xml:space="preserve">Summary 3   </w:t>
      </w:r>
      <w:r>
        <w:rPr>
          <w:color w:val="6B7280"/>
          <w:sz w:val="15"/>
          <w:szCs w:val="15"/>
        </w:rPr>
        <w:t xml:space="preserve">The minimum transfer price cannot be found without knowing whether the supplier has spare capacity. With spare capacity there is no opportunity cost; at capacity the opportunity cost is the lost contribution margin.</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16.5  Transfers across borders</w:t>
            </w:r>
          </w:p>
          <w:p>
            <w:pPr>
              <w:spacing w:before="0" w:after="46"/>
            </w:pPr>
            <w:r>
              <w:rPr>
                <w:color w:val="E8EAF6"/>
                <w:sz w:val="16"/>
                <w:szCs w:val="16"/>
              </w:rPr>
              <w:t xml:space="preserve">Chapter 16 · section 16.5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Orontes sells to the Gulf through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it part-owns, so some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cross a border.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distributor   ·   transfers   ·   part-owns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72"/>
        <w:gridCol w:w="4224"/>
        <w:gridCol w:w="320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Issues in a cross-border transfer</w:t>
            </w:r>
          </w:p>
        </w:tc>
      </w:tr>
      <w:tr>
        <w:tc>
          <w:tcPr>
            <w:tcW w:type="pct" w:w="1131"/>
            <w:shd w:fill="353A7C" w:val="clear"/>
            <w:tcMar>
              <w:top w:type="dxa" w:w="50"/>
              <w:left w:type="dxa" w:w="110"/>
              <w:bottom w:type="dxa" w:w="50"/>
              <w:right w:type="dxa" w:w="110"/>
            </w:tcMar>
          </w:tcPr>
          <w:p>
            <w:pPr>
              <w:spacing w:before="30" w:after="30"/>
            </w:pPr>
            <w:r>
              <w:rPr>
                <w:b/>
                <w:bCs/>
                <w:color w:val="FFFFFF"/>
                <w:sz w:val="15"/>
                <w:szCs w:val="15"/>
              </w:rPr>
              <w:t xml:space="preserve">Issue (C.2.l)</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Effect on the transfer price</w:t>
            </w:r>
          </w:p>
        </w:tc>
        <w:tc>
          <w:tcPr>
            <w:tcW w:type="pct" w:w="1669"/>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1131"/>
            <w:tcMar>
              <w:top w:type="dxa" w:w="50"/>
              <w:left w:type="dxa" w:w="110"/>
              <w:bottom w:type="dxa" w:w="50"/>
              <w:right w:type="dxa" w:w="110"/>
            </w:tcMar>
          </w:tcPr>
          <w:p>
            <w:pPr>
              <w:spacing w:before="28" w:after="28"/>
            </w:pPr>
            <w:r>
              <w:rPr>
                <w:sz w:val="15"/>
                <w:szCs w:val="15"/>
              </w:rPr>
              <w:t xml:space="preserve">Tariffs</w:t>
            </w:r>
          </w:p>
        </w:tc>
        <w:tc>
          <w:tcPr>
            <w:tcW w:type="pct" w:w="2200"/>
            <w:tcMar>
              <w:top w:type="dxa" w:w="50"/>
              <w:left w:type="dxa" w:w="110"/>
              <w:bottom w:type="dxa" w:w="50"/>
              <w:right w:type="dxa" w:w="110"/>
            </w:tcMar>
          </w:tcPr>
          <w:p>
            <w:pPr>
              <w:spacing w:before="28" w:after="28"/>
            </w:pPr>
            <w:r>
              <w:rPr>
                <w:sz w:val="15"/>
                <w:szCs w:val="15"/>
              </w:rPr>
              <w:t xml:space="preserve">A higher transfer price raises the duty paid at the border</w:t>
            </w:r>
          </w:p>
        </w:tc>
        <w:tc>
          <w:tcPr>
            <w:tcW w:type="pct" w:w="1669"/>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131"/>
            <w:shd w:fill="FBFAF6" w:val="clear"/>
            <w:tcMar>
              <w:top w:type="dxa" w:w="50"/>
              <w:left w:type="dxa" w:w="110"/>
              <w:bottom w:type="dxa" w:w="50"/>
              <w:right w:type="dxa" w:w="110"/>
            </w:tcMar>
          </w:tcPr>
          <w:p>
            <w:pPr>
              <w:spacing w:before="28" w:after="28"/>
            </w:pPr>
            <w:r>
              <w:rPr>
                <w:sz w:val="15"/>
                <w:szCs w:val="15"/>
              </w:rPr>
              <w:t xml:space="preserve">Income taxes</w:t>
            </w:r>
          </w:p>
        </w:tc>
        <w:tc>
          <w:tcPr>
            <w:tcW w:type="pct" w:w="2200"/>
            <w:shd w:fill="FBFAF6" w:val="clear"/>
            <w:tcMar>
              <w:top w:type="dxa" w:w="50"/>
              <w:left w:type="dxa" w:w="110"/>
              <w:bottom w:type="dxa" w:w="50"/>
              <w:right w:type="dxa" w:w="110"/>
            </w:tcMar>
          </w:tcPr>
          <w:p>
            <w:pPr>
              <w:spacing w:before="28" w:after="28"/>
            </w:pPr>
            <w:r>
              <w:rPr>
                <w:sz w:val="15"/>
                <w:szCs w:val="15"/>
              </w:rPr>
              <w:t xml:space="preserve">Profit is taxed where it is reported</w:t>
            </w:r>
          </w:p>
        </w:tc>
        <w:tc>
          <w:tcPr>
            <w:tcW w:type="pct" w:w="1669"/>
            <w:shd w:fill="FBFAF6" w:val="clear"/>
            <w:tcMar>
              <w:top w:type="dxa" w:w="50"/>
              <w:left w:type="dxa" w:w="110"/>
              <w:bottom w:type="dxa" w:w="50"/>
              <w:right w:type="dxa" w:w="110"/>
            </w:tcMar>
          </w:tcPr>
          <w:p>
            <w:pPr>
              <w:spacing w:before="28" w:after="28"/>
            </w:pPr>
            <w:r>
              <w:rPr>
                <w:sz w:val="15"/>
                <w:szCs w:val="15"/>
              </w:rPr>
              <w:t xml:space="preserve">Jordan 20%, the Gulf buyer 10%</w:t>
            </w:r>
          </w:p>
        </w:tc>
      </w:tr>
      <w:tr>
        <w:tc>
          <w:tcPr>
            <w:tcW w:type="pct" w:w="1131"/>
            <w:tcMar>
              <w:top w:type="dxa" w:w="50"/>
              <w:left w:type="dxa" w:w="110"/>
              <w:bottom w:type="dxa" w:w="50"/>
              <w:right w:type="dxa" w:w="110"/>
            </w:tcMar>
          </w:tcPr>
          <w:p>
            <w:pPr>
              <w:spacing w:before="28" w:after="28"/>
            </w:pPr>
            <w:r>
              <w:rPr>
                <w:sz w:val="15"/>
                <w:szCs w:val="15"/>
              </w:rPr>
              <w:t xml:space="preserve">Exchange rates</w:t>
            </w:r>
          </w:p>
        </w:tc>
        <w:tc>
          <w:tcPr>
            <w:tcW w:type="pct" w:w="2200"/>
            <w:tcMar>
              <w:top w:type="dxa" w:w="50"/>
              <w:left w:type="dxa" w:w="110"/>
              <w:bottom w:type="dxa" w:w="50"/>
              <w:right w:type="dxa" w:w="110"/>
            </w:tcMar>
          </w:tcPr>
          <w:p>
            <w:pPr>
              <w:spacing w:before="28" w:after="28"/>
            </w:pPr>
            <w:r>
              <w:rPr>
                <w:sz w:val="15"/>
                <w:szCs w:val="15"/>
              </w:rPr>
              <w:t xml:space="preserve">A price fixed in one </w:t>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moves the profit when rates change</w:t>
            </w:r>
          </w:p>
        </w:tc>
        <w:tc>
          <w:tcPr>
            <w:tcW w:type="pct" w:w="1669"/>
            <w:tcMar>
              <w:top w:type="dxa" w:w="50"/>
              <w:left w:type="dxa" w:w="110"/>
              <w:bottom w:type="dxa" w:w="50"/>
              <w:right w:type="dxa" w:w="110"/>
            </w:tcMar>
          </w:tcPr>
          <w:p>
            <w:pPr>
              <w:spacing w:before="28" w:after="28"/>
            </w:pPr>
            <w:r>
              <w:rPr>
                <w:sz w:val="15"/>
                <w:szCs w:val="15"/>
              </w:rPr>
              <w:t xml:space="preserve">The dinar is pegged to the dollar; Gulf currencies are not</w:t>
            </w:r>
          </w:p>
        </w:tc>
      </w:tr>
      <w:tr>
        <w:tc>
          <w:tcPr>
            <w:tcW w:type="pct" w:w="1131"/>
            <w:shd w:fill="FBFAF6" w:val="clear"/>
            <w:tcMar>
              <w:top w:type="dxa" w:w="50"/>
              <w:left w:type="dxa" w:w="110"/>
              <w:bottom w:type="dxa" w:w="50"/>
              <w:right w:type="dxa" w:w="110"/>
            </w:tcMar>
          </w:tcPr>
          <w:p>
            <w:pPr>
              <w:spacing w:before="28" w:after="28"/>
            </w:pPr>
            <w:r>
              <w:rPr>
                <w:sz w:val="15"/>
                <w:szCs w:val="15"/>
              </w:rPr>
              <w:t xml:space="preserve">Currency restrictions</w:t>
            </w:r>
          </w:p>
        </w:tc>
        <w:tc>
          <w:tcPr>
            <w:tcW w:type="pct" w:w="2200"/>
            <w:shd w:fill="FBFAF6" w:val="clear"/>
            <w:tcMar>
              <w:top w:type="dxa" w:w="50"/>
              <w:left w:type="dxa" w:w="110"/>
              <w:bottom w:type="dxa" w:w="50"/>
              <w:right w:type="dxa" w:w="110"/>
            </w:tcMar>
          </w:tcPr>
          <w:p>
            <w:pPr>
              <w:spacing w:before="28" w:after="28"/>
            </w:pPr>
            <w:r>
              <w:rPr>
                <w:sz w:val="15"/>
                <w:szCs w:val="15"/>
              </w:rPr>
              <w:t xml:space="preserve">Cash may not be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so a high price traps profit abroad</w:t>
            </w:r>
          </w:p>
        </w:tc>
        <w:tc>
          <w:tcPr>
            <w:tcW w:type="pct" w:w="1669"/>
            <w:shd w:fill="FBFAF6" w:val="clear"/>
            <w:tcMar>
              <w:top w:type="dxa" w:w="50"/>
              <w:left w:type="dxa" w:w="110"/>
              <w:bottom w:type="dxa" w:w="50"/>
              <w:right w:type="dxa" w:w="110"/>
            </w:tcMar>
          </w:tcPr>
          <w:p>
            <w:pPr>
              <w:spacing w:before="28" w:after="28"/>
            </w:pPr>
            <w:r>
              <w:rPr>
                <w:sz w:val="15"/>
                <w:szCs w:val="15"/>
              </w:rPr>
              <w:t xml:space="preserve">Watch controls on moving funds out</w:t>
            </w:r>
          </w:p>
        </w:tc>
      </w:tr>
      <w:tr>
        <w:tc>
          <w:tcPr>
            <w:tcW w:type="pct" w:w="1131"/>
            <w:tcMar>
              <w:top w:type="dxa" w:w="50"/>
              <w:left w:type="dxa" w:w="110"/>
              <w:bottom w:type="dxa" w:w="50"/>
              <w:right w:type="dxa" w:w="110"/>
            </w:tcMar>
          </w:tcPr>
          <w:p>
            <w:pPr>
              <w:spacing w:before="28" w:after="28"/>
            </w:pPr>
            <w:r>
              <w:rPr>
                <w:sz w:val="15"/>
                <w:szCs w:val="15"/>
              </w:rPr>
              <w:t xml:space="preserve">Expropriation risk</w:t>
            </w:r>
          </w:p>
        </w:tc>
        <w:tc>
          <w:tcPr>
            <w:tcW w:type="pct" w:w="2200"/>
            <w:tcMar>
              <w:top w:type="dxa" w:w="50"/>
              <w:left w:type="dxa" w:w="110"/>
              <w:bottom w:type="dxa" w:w="50"/>
              <w:right w:type="dxa" w:w="110"/>
            </w:tcMar>
          </w:tcPr>
          <w:p>
            <w:pPr>
              <w:spacing w:before="28" w:after="28"/>
            </w:pPr>
            <w:r>
              <w:rPr>
                <w:sz w:val="15"/>
                <w:szCs w:val="15"/>
              </w:rPr>
              <w:t xml:space="preserve">Assets or balances in a country may be seized</w:t>
            </w:r>
          </w:p>
        </w:tc>
        <w:tc>
          <w:tcPr>
            <w:tcW w:type="pct" w:w="1669"/>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131"/>
            <w:shd w:fill="FBFAF6" w:val="clear"/>
            <w:tcMar>
              <w:top w:type="dxa" w:w="50"/>
              <w:left w:type="dxa" w:w="110"/>
              <w:bottom w:type="dxa" w:w="50"/>
              <w:right w:type="dxa" w:w="110"/>
            </w:tcMar>
          </w:tcPr>
          <w:p>
            <w:pPr>
              <w:spacing w:before="28" w:after="28"/>
            </w:pPr>
            <w:r>
              <w:rPr>
                <w:sz w:val="15"/>
                <w:szCs w:val="15"/>
              </w:rPr>
              <w:t xml:space="preserve">Availability of materials and skills</w:t>
            </w:r>
          </w:p>
        </w:tc>
        <w:tc>
          <w:tcPr>
            <w:tcW w:type="pct" w:w="2200"/>
            <w:shd w:fill="FBFAF6" w:val="clear"/>
            <w:tcMar>
              <w:top w:type="dxa" w:w="50"/>
              <w:left w:type="dxa" w:w="110"/>
              <w:bottom w:type="dxa" w:w="50"/>
              <w:right w:type="dxa" w:w="110"/>
            </w:tcMar>
          </w:tcPr>
          <w:p>
            <w:pPr>
              <w:spacing w:before="28" w:after="28"/>
            </w:pPr>
            <w:r>
              <w:rPr>
                <w:sz w:val="15"/>
                <w:szCs w:val="15"/>
              </w:rPr>
              <w:t xml:space="preserve">A division may have to buy inside because nothing else is available</w:t>
            </w:r>
          </w:p>
        </w:tc>
        <w:tc>
          <w:tcPr>
            <w:tcW w:type="pct" w:w="1669"/>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remittable   ·   currency   ·   Keep balances low where the risk is high   ·   5% on the Gulf shipment   ·   dual-rate transfer pricing   ·   Specialist bottling in Jordan</w:t>
            </w:r>
          </w:p>
        </w:tc>
      </w:tr>
    </w:tbl>
    <w:p/>
    <w:p>
      <w:pPr>
        <w:spacing w:before="44" w:after="14"/>
      </w:pPr>
      <w:r>
        <w:rPr>
          <w:b/>
          <w:bCs/>
          <w:color w:val="353A7C"/>
          <w:sz w:val="18"/>
          <w:szCs w:val="18"/>
        </w:rPr>
        <w:t xml:space="preserve">Summary 2</w:t>
      </w:r>
      <w:r>
        <w:rPr>
          <w:color w:val="6B7280"/>
          <w:sz w:val="16"/>
          <w:szCs w:val="16"/>
        </w:rPr>
        <w:t xml:space="preserve">      gaps 8–14</w:t>
      </w:r>
    </w:p>
    <w:p>
      <w:pPr>
        <w:spacing w:before="20" w:after="20" w:line="360" w:lineRule="auto"/>
        <w:ind w:left="200"/>
      </w:pPr>
      <w:r>
        <w:rPr>
          <w:sz w:val="19"/>
          <w:szCs w:val="19"/>
        </w:rPr>
        <w:t xml:space="preserve">Tax and tariffs pull in opposite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A higher transfer price moves profit to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country and cuts tax if the rate there is lower. </w:t>
      </w:r>
      <w:r>
        <w:rPr>
          <w:sz w:val="19"/>
          <w:szCs w:val="19"/>
        </w:rPr>
        <w:t xml:space="preserve">It also raises the duty paid at the border, because duty is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on the invoice value. </w:t>
      </w:r>
      <w:r>
        <w:rPr>
          <w:sz w:val="19"/>
          <w:szCs w:val="19"/>
        </w:rPr>
        <w:t xml:space="preserve">Tax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also set rules. </w:t>
      </w:r>
      <w:r>
        <w:rPr>
          <w:sz w:val="19"/>
          <w:szCs w:val="19"/>
        </w:rPr>
        <w:t xml:space="preserve">A transfer price must be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as one that unrelated parties would have agreed, and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usually required. </w:t>
      </w:r>
      <w:r>
        <w:rPr>
          <w:sz w:val="19"/>
          <w:szCs w:val="19"/>
        </w:rPr>
        <w:t xml:space="preserve">A price chosen only to move profit invites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and penalties.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charged   ·   buying   ·   adjustment   ·   usually   ·   directions   ·   defensible   ·   documentation   ·   authorities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expropriation risk</w:t>
            </w:r>
          </w:p>
        </w:tc>
        <w:tc>
          <w:tcPr>
            <w:tcW w:type="pct" w:w="2400"/>
            <w:tcMar>
              <w:top w:type="dxa" w:w="50"/>
              <w:left w:type="dxa" w:w="110"/>
              <w:bottom w:type="dxa" w:w="50"/>
              <w:right w:type="dxa" w:w="110"/>
            </w:tcMar>
          </w:tcPr>
          <w:p>
            <w:pPr>
              <w:spacing w:before="26" w:after="26"/>
            </w:pPr>
            <w:r>
              <w:rPr>
                <w:color w:val="232733"/>
                <w:sz w:val="16"/>
                <w:szCs w:val="16"/>
              </w:rPr>
              <w:t xml:space="preserve">مخاطر المصادرة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16.5  Transfers across borders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distributor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directions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transfers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buying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5% on the Gulf shipment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charged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currency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authorities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remittable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defensible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Keep balances low where the risk is high</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documentation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Specialist bottling in Jordan</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adjustment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Orontes sells to the Gulf through a distributor it part-owns, so some transfers cross a border.</w:t>
      </w:r>
    </w:p>
    <w:p>
      <w:pPr>
        <w:spacing w:before="20" w:after="20"/>
        <w:ind w:left="240" w:hanging="240"/>
      </w:pPr>
      <w:r>
        <w:rPr>
          <w:b/>
          <w:bCs/>
          <w:color w:val="353A7C"/>
          <w:sz w:val="15"/>
          <w:szCs w:val="15"/>
        </w:rPr>
        <w:t xml:space="preserve">Summary 2   </w:t>
      </w:r>
      <w:r>
        <w:rPr>
          <w:color w:val="6B7280"/>
          <w:sz w:val="15"/>
          <w:szCs w:val="15"/>
        </w:rPr>
        <w:t xml:space="preserve">Tax and tariffs pull in opposite directions. A higher transfer price moves profit to the buying country and cuts tax if the rate there is lower. It also raises the duty paid at the border, because duty is charged on the invoice value. Tax authorities also set rules. A transfer price must be defensible as one that unrelated parties would have agreed, and documentation is usually required. A price chosen only to move profit invites adjustment and penalties.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16.6  Extended Example 16A: raising the Gulf transfer price</w:t>
            </w:r>
          </w:p>
          <w:p>
            <w:pPr>
              <w:spacing w:before="0" w:after="46"/>
            </w:pPr>
            <w:r>
              <w:rPr>
                <w:color w:val="E8EAF6"/>
                <w:sz w:val="16"/>
                <w:szCs w:val="16"/>
              </w:rPr>
              <w:t xml:space="preserve">Chapter 16 · section 16.6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This example works out whether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price rise is worth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team proposes raising the price on 100,000 units by $0.20, moving $20,000 of profit from Jordan, taxed at 20%, to the Gulf buyer, taxed at 10%.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finance   ·   statement   ·   proposed   ·   making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the tax and tariff effect of a higher Gulf price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Raising the Gulf transfer price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Profit </w:t>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by raising the price $0.20 on 100,000 units</w:t>
            </w:r>
          </w:p>
        </w:tc>
        <w:tc>
          <w:tcPr>
            <w:tcW w:type="pct" w:w="2400"/>
            <w:tcMar>
              <w:top w:type="dxa" w:w="50"/>
              <w:left w:type="dxa" w:w="110"/>
              <w:bottom w:type="dxa" w:w="50"/>
              <w:right w:type="dxa" w:w="110"/>
            </w:tcMar>
          </w:tcPr>
          <w:p>
            <w:pPr>
              <w:spacing w:before="28" w:after="28"/>
            </w:pPr>
            <w:r>
              <w:rPr>
                <w:sz w:val="15"/>
                <w:szCs w:val="15"/>
              </w:rPr>
              <w:t xml:space="preserve">20,000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Tax saved: 20% − 10%</w:t>
            </w:r>
          </w:p>
        </w:tc>
        <w:tc>
          <w:tcPr>
            <w:tcW w:type="pct" w:w="2400"/>
            <w:shd w:fill="FBFAF6" w:val="clear"/>
            <w:tcMar>
              <w:top w:type="dxa" w:w="50"/>
              <w:left w:type="dxa" w:w="110"/>
              <w:bottom w:type="dxa" w:w="50"/>
              <w:right w:type="dxa" w:w="110"/>
            </w:tcMar>
          </w:tcPr>
          <w:p>
            <w:pPr>
              <w:spacing w:before="28" w:after="28"/>
            </w:pPr>
            <w:r>
              <w:rPr>
                <w:sz w:val="15"/>
                <w:szCs w:val="15"/>
              </w:rPr>
              <w:t xml:space="preserve">2,000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400"/>
            <w:tcMar>
              <w:top w:type="dxa" w:w="50"/>
              <w:left w:type="dxa" w:w="110"/>
              <w:bottom w:type="dxa" w:w="50"/>
              <w:right w:type="dxa" w:w="110"/>
            </w:tcMar>
          </w:tcPr>
          <w:p>
            <w:pPr>
              <w:spacing w:before="28" w:after="28"/>
            </w:pPr>
            <w:r>
              <w:rPr>
                <w:sz w:val="15"/>
                <w:szCs w:val="15"/>
              </w:rPr>
              <w:t xml:space="preserve">(1,000)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Net effect</w:t>
            </w:r>
          </w:p>
        </w:tc>
        <w:tc>
          <w:tcPr>
            <w:tcW w:type="pct" w:w="2400"/>
            <w:shd w:fill="FBFAF6" w:val="clear"/>
            <w:tcMar>
              <w:top w:type="dxa" w:w="50"/>
              <w:left w:type="dxa" w:w="110"/>
              <w:bottom w:type="dxa" w:w="50"/>
              <w:right w:type="dxa" w:w="110"/>
            </w:tcMar>
          </w:tcPr>
          <w:p>
            <w:pPr>
              <w:spacing w:before="28" w:after="28"/>
            </w:pPr>
            <w:r>
              <w:rPr>
                <w:sz w:val="15"/>
                <w:szCs w:val="15"/>
              </w:rPr>
              <w:t xml:space="preserve">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Net effect   ·   shifted   ·   Extra tariff at 5%</w:t>
            </w:r>
          </w:p>
        </w:tc>
      </w:tr>
    </w:tbl>
    <w:p/>
    <w:p>
      <w:pPr>
        <w:spacing w:before="44" w:after="14"/>
      </w:pPr>
      <w:r>
        <w:rPr>
          <w:b/>
          <w:bCs/>
          <w:color w:val="353A7C"/>
          <w:sz w:val="18"/>
          <w:szCs w:val="18"/>
        </w:rPr>
        <w:t xml:space="preserve">Summary 2</w:t>
      </w:r>
      <w:r>
        <w:rPr>
          <w:color w:val="6B7280"/>
          <w:sz w:val="16"/>
          <w:szCs w:val="16"/>
        </w:rPr>
        <w:t xml:space="preserve">      gaps 6–9</w:t>
      </w:r>
    </w:p>
    <w:p>
      <w:pPr>
        <w:spacing w:before="20" w:after="20" w:line="360" w:lineRule="auto"/>
        <w:ind w:left="200"/>
      </w:pPr>
      <w:r>
        <w:rPr>
          <w:sz w:val="19"/>
          <w:szCs w:val="19"/>
        </w:rPr>
        <w:t xml:space="preserve">The gain is small, and it depends entirely on the price still being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 both tax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advises against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price for tax reasons alone. </w:t>
      </w:r>
      <w:r>
        <w:rPr>
          <w:sz w:val="19"/>
          <w:szCs w:val="19"/>
        </w:rPr>
        <w:t xml:space="preserve">The net gain is $1,000 against the risk of an adjustment, and the Gulf currency and remittance rules could trap the extra profit abroad.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whether   ·   authorities   ·   changing   ·   defensible   ·   controller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10–11</w:t>
      </w:r>
    </w:p>
    <w:p>
      <w:pPr>
        <w:spacing w:before="20" w:after="20" w:line="360" w:lineRule="auto"/>
        <w:ind w:left="200"/>
      </w:pPr>
      <w:r>
        <w:rPr>
          <w:sz w:val="19"/>
          <w:szCs w:val="19"/>
        </w:rPr>
        <w:t xml:space="preserve">Company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on internal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$6,930,000 at every transfer price. </w:t>
      </w:r>
      <w:r>
        <w:rPr>
          <w:sz w:val="19"/>
          <w:szCs w:val="19"/>
        </w:rPr>
        <w:t xml:space="preserve">Tax saved $2,000 − duty $1,000 = $1,000.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reasons   ·   delivery   ·   contribution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12–14</w:t>
      </w:r>
    </w:p>
    <w:p>
      <w:pPr>
        <w:spacing w:before="20" w:after="20" w:line="360" w:lineRule="auto"/>
        <w:ind w:left="200"/>
      </w:pPr>
      <w:r>
        <w:rPr>
          <w:sz w:val="19"/>
          <w:szCs w:val="19"/>
        </w:rPr>
        <w:t xml:space="preserve">Expect a supplying division's variable and full cost, an outside market price, an outside offer to the buyer, and a statement about capacity. </w:t>
      </w:r>
      <w:r>
        <w:rPr>
          <w:sz w:val="19"/>
          <w:szCs w:val="19"/>
        </w:rPr>
        <w:t xml:space="preserve">Find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and the maximum, say whether a range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and state what the company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do.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minimum   ·   exists   ·   should   ·   adjustment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Oils and Tahini &amp; Spreads, one year</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tcMar>
              <w:top w:type="dxa" w:w="50"/>
              <w:left w:type="dxa" w:w="110"/>
              <w:bottom w:type="dxa" w:w="50"/>
              <w:right w:type="dxa" w:w="110"/>
            </w:tcMar>
          </w:tcPr>
          <w:p>
            <w:pPr>
              <w:spacing w:before="28" w:after="28"/>
            </w:pPr>
            <w:r>
              <w:rPr>
                <w:sz w:val="15"/>
                <w:szCs w:val="15"/>
              </w:rPr>
              <w:t xml:space="preserve">200,000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$1.80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2400"/>
            <w:tcMar>
              <w:top w:type="dxa" w:w="50"/>
              <w:left w:type="dxa" w:w="110"/>
              <w:bottom w:type="dxa" w:w="50"/>
              <w:right w:type="dxa" w:w="110"/>
            </w:tcMar>
          </w:tcPr>
          <w:p>
            <w:pPr>
              <w:spacing w:before="28" w:after="28"/>
            </w:pPr>
            <w:r>
              <w:rPr>
                <w:sz w:val="15"/>
                <w:szCs w:val="15"/>
              </w:rPr>
              <w:t xml:space="preserve">$0.70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Price Oils charges outside customers</w:t>
            </w:r>
          </w:p>
        </w:tc>
        <w:tc>
          <w:tcPr>
            <w:tcW w:type="pct" w:w="2400"/>
            <w:shd w:fill="FBFAF6" w:val="clear"/>
            <w:tcMar>
              <w:top w:type="dxa" w:w="50"/>
              <w:left w:type="dxa" w:w="110"/>
              <w:bottom w:type="dxa" w:w="50"/>
              <w:right w:type="dxa" w:w="110"/>
            </w:tcMar>
          </w:tcPr>
          <w:p>
            <w:pPr>
              <w:spacing w:before="28" w:after="28"/>
            </w:pPr>
            <w:r>
              <w:rPr>
                <w:sz w:val="15"/>
                <w:szCs w:val="15"/>
              </w:rPr>
              <w:t xml:space="preserve">$3.00</w:t>
            </w:r>
          </w:p>
        </w:tc>
      </w:tr>
      <w:tr>
        <w:tc>
          <w:tcPr>
            <w:tcW w:type="pct" w:w="2600"/>
            <w:tcMar>
              <w:top w:type="dxa" w:w="50"/>
              <w:left w:type="dxa" w:w="110"/>
              <w:bottom w:type="dxa" w:w="50"/>
              <w:right w:type="dxa" w:w="110"/>
            </w:tcMar>
          </w:tcPr>
          <w:p>
            <w:pPr>
              <w:spacing w:before="28" w:after="28"/>
            </w:pPr>
            <w:r>
              <w:rPr>
                <w:sz w:val="15"/>
                <w:szCs w:val="15"/>
              </w:rPr>
              <w:t xml:space="preserve">Price an outside supplier offers Tahini &amp; Spreads</w:t>
            </w:r>
          </w:p>
        </w:tc>
        <w:tc>
          <w:tcPr>
            <w:tcW w:type="pct" w:w="2400"/>
            <w:tcMar>
              <w:top w:type="dxa" w:w="50"/>
              <w:left w:type="dxa" w:w="110"/>
              <w:bottom w:type="dxa" w:w="50"/>
              <w:right w:type="dxa" w:w="110"/>
            </w:tcMar>
          </w:tcPr>
          <w:p>
            <w:pPr>
              <w:spacing w:before="28" w:after="28"/>
            </w:pPr>
            <w:r>
              <w:rPr>
                <w:sz w:val="15"/>
                <w:szCs w:val="15"/>
              </w:rPr>
              <w:t xml:space="preserve">$2.70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Liters Oils can supply without giving up outside sales</w:t>
            </w:r>
          </w:p>
        </w:tc>
        <w:tc>
          <w:tcPr>
            <w:tcW w:type="pct" w:w="2400"/>
            <w:shd w:fill="FBFAF6" w:val="clear"/>
            <w:tcMar>
              <w:top w:type="dxa" w:w="50"/>
              <w:left w:type="dxa" w:w="110"/>
              <w:bottom w:type="dxa" w:w="50"/>
              <w:right w:type="dxa" w:w="110"/>
            </w:tcMar>
          </w:tcPr>
          <w:p>
            <w:pPr>
              <w:spacing w:before="28" w:after="28"/>
            </w:pPr>
            <w:r>
              <w:rPr>
                <w:sz w:val="15"/>
                <w:szCs w:val="15"/>
              </w:rPr>
              <w:t xml:space="preserve">120,000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Liters of pressed oil needed by Tahini &amp; Spreads   ·   Oils fixed cost a liter at normal volume   ·   Oils variable cost a liter   ·   The transfer price changes which division reports the profit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Negotiated price</w:t>
            </w:r>
          </w:p>
        </w:tc>
        <w:tc>
          <w:tcPr>
            <w:tcW w:type="pct" w:w="2600"/>
            <w:tcMar>
              <w:top w:type="dxa" w:w="50"/>
              <w:left w:type="dxa" w:w="110"/>
              <w:bottom w:type="dxa" w:w="50"/>
              <w:right w:type="dxa" w:w="110"/>
            </w:tcMar>
          </w:tcPr>
          <w:p>
            <w:pPr>
              <w:spacing w:before="28" w:after="28"/>
            </w:pPr>
            <w:r>
              <w:rPr>
                <w:sz w:val="15"/>
                <w:szCs w:val="15"/>
              </w:rPr>
              <w:t xml:space="preserve">Levant $360,000; </w:t>
            </w:r>
            <w:r>
              <w:rPr>
                <w:b/>
                <w:bCs/>
                <w:color w:val="8186EF"/>
                <w:sz w:val="14"/>
                <w:szCs w:val="14"/>
              </w:rPr>
              <w:t xml:space="preserve"> (18) </w:t>
            </w:r>
            <w:r>
              <w:rPr>
                <w:u w:val="single"/>
                <w:sz w:val="15"/>
                <w:szCs w:val="15"/>
              </w:rPr>
              <w:t xml:space="preserve">              </w:t>
            </w:r>
            <w:r>
              <w:rPr>
                <w:sz w:val="15"/>
                <w:szCs w:val="15"/>
              </w:rPr>
              <w:t xml:space="preserve"> </w:t>
            </w:r>
            <w:r>
              <w:rPr>
                <w:sz w:val="15"/>
                <w:szCs w:val="15"/>
              </w:rPr>
              <w:t xml:space="preserve"> $6,570,000; company $6,930,000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Market price</w:t>
            </w:r>
          </w:p>
        </w:tc>
        <w:tc>
          <w:tcPr>
            <w:tcW w:type="pct" w:w="2600"/>
            <w:shd w:fill="FBFAF6" w:val="clear"/>
            <w:tcMar>
              <w:top w:type="dxa" w:w="50"/>
              <w:left w:type="dxa" w:w="110"/>
              <w:bottom w:type="dxa" w:w="50"/>
              <w:right w:type="dxa" w:w="110"/>
            </w:tcMar>
          </w:tcPr>
          <w:p>
            <w:pPr>
              <w:spacing w:before="28" w:after="28"/>
            </w:pPr>
            <w:r>
              <w:rPr>
                <w:sz w:val="15"/>
                <w:szCs w:val="15"/>
              </w:rPr>
              <w:t xml:space="preserve">Levant $540,000; Beverages $6,390,000; company $6,930,000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Beverages   ·   Data</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Statement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Statement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The transfer price changes which division reports the profit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Supplying from idle capacity costs the company only the variable cost</w:t>
            </w:r>
          </w:p>
        </w:tc>
        <w:tc>
          <w:tcPr>
            <w:tcW w:type="pct" w:w="2400"/>
            <w:shd w:fill="FBFAF6" w:val="clear"/>
            <w:tcMar>
              <w:top w:type="dxa" w:w="50"/>
              <w:left w:type="dxa" w:w="110"/>
              <w:bottom w:type="dxa" w:w="50"/>
              <w:right w:type="dxa" w:w="110"/>
            </w:tcMar>
          </w:tcPr>
          <w:p>
            <w:pPr>
              <w:spacing w:before="28" w:after="28"/>
            </w:pPr>
            <w:r>
              <w:rPr>
                <w:sz w:val="15"/>
                <w:szCs w:val="15"/>
              </w:rPr>
              <w:t xml:space="preserve">True for the company</w:t>
            </w:r>
          </w:p>
        </w:tc>
      </w:tr>
      <w:tr>
        <w:tc>
          <w:tcPr>
            <w:tcW w:type="pct" w:w="2600"/>
            <w:tcMar>
              <w:top w:type="dxa" w:w="50"/>
              <w:left w:type="dxa" w:w="110"/>
              <w:bottom w:type="dxa" w:w="50"/>
              <w:right w:type="dxa" w:w="110"/>
            </w:tcMar>
          </w:tcPr>
          <w:p>
            <w:pPr>
              <w:spacing w:before="28" w:after="28"/>
            </w:pPr>
            <w:r>
              <w:rPr>
                <w:sz w:val="15"/>
                <w:szCs w:val="15"/>
              </w:rPr>
              <w:t xml:space="preserve">A higher transfer price raises the supplying division's profit</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Buying outside at a price above the company's incremental cost wastes cash</w:t>
            </w:r>
          </w:p>
        </w:tc>
        <w:tc>
          <w:tcPr>
            <w:tcW w:type="pct" w:w="2400"/>
            <w:shd w:fill="FBFAF6" w:val="clear"/>
            <w:tcMar>
              <w:top w:type="dxa" w:w="50"/>
              <w:left w:type="dxa" w:w="110"/>
              <w:bottom w:type="dxa" w:w="50"/>
              <w:right w:type="dxa" w:w="110"/>
            </w:tcMar>
          </w:tcPr>
          <w:p>
            <w:pPr>
              <w:spacing w:before="28" w:after="28"/>
            </w:pPr>
            <w:r>
              <w:rPr>
                <w:sz w:val="15"/>
                <w:szCs w:val="15"/>
              </w:rPr>
              <w:t xml:space="preserve">True for the company</w:t>
            </w:r>
          </w:p>
        </w:tc>
      </w:tr>
      <w:tr>
        <w:tc>
          <w:tcPr>
            <w:tcW w:type="pct" w:w="2600"/>
            <w:tcMar>
              <w:top w:type="dxa" w:w="50"/>
              <w:left w:type="dxa" w:w="110"/>
              <w:bottom w:type="dxa" w:w="50"/>
              <w:right w:type="dxa" w:w="110"/>
            </w:tcMar>
          </w:tcPr>
          <w:p>
            <w:pPr>
              <w:spacing w:before="28" w:after="28"/>
            </w:pPr>
            <w:r>
              <w:rPr>
                <w:sz w:val="15"/>
                <w:szCs w:val="15"/>
              </w:rPr>
              <w:t xml:space="preserve">A higher transfer price lowers the buying division's profit</w:t>
            </w:r>
          </w:p>
        </w:tc>
        <w:tc>
          <w:tcPr>
            <w:tcW w:type="pct" w:w="2400"/>
            <w:tcMar>
              <w:top w:type="dxa" w:w="50"/>
              <w:left w:type="dxa" w:w="110"/>
              <w:bottom w:type="dxa" w:w="50"/>
              <w:right w:type="dxa" w:w="110"/>
            </w:tcMar>
          </w:tcPr>
          <w:p>
            <w:pPr>
              <w:spacing w:before="28" w:after="28"/>
            </w:pPr>
            <w:r>
              <w:rPr>
                <w:sz w:val="15"/>
                <w:szCs w:val="15"/>
              </w:rPr>
              <w:t xml:space="preserve">True only for one division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True for the company   ·   True only for one division   ·   Oils variable cost a liter</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market-based transfer price   ·   variable-cost transfer price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62"/>
        <w:gridCol w:w="463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8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1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85"/>
            <w:tcMar>
              <w:top w:type="dxa" w:w="50"/>
              <w:left w:type="dxa" w:w="110"/>
              <w:bottom w:type="dxa" w:w="50"/>
              <w:right w:type="dxa" w:w="110"/>
            </w:tcMar>
          </w:tcPr>
          <w:p>
            <w:pPr>
              <w:spacing w:before="26" w:after="26"/>
            </w:pPr>
            <w:r>
              <w:rPr>
                <w:color w:val="232733"/>
                <w:sz w:val="16"/>
                <w:szCs w:val="16"/>
              </w:rPr>
              <w:t xml:space="preserve">transfer price</w:t>
            </w:r>
          </w:p>
        </w:tc>
        <w:tc>
          <w:tcPr>
            <w:tcW w:type="pct" w:w="2415"/>
            <w:tcMar>
              <w:top w:type="dxa" w:w="50"/>
              <w:left w:type="dxa" w:w="110"/>
              <w:bottom w:type="dxa" w:w="50"/>
              <w:right w:type="dxa" w:w="110"/>
            </w:tcMar>
          </w:tcPr>
          <w:p>
            <w:pPr>
              <w:spacing w:before="26" w:after="26"/>
            </w:pPr>
            <w:r>
              <w:rPr>
                <w:color w:val="232733"/>
                <w:sz w:val="16"/>
                <w:szCs w:val="16"/>
              </w:rPr>
              <w:t xml:space="preserve">سعر التحويل</w:t>
            </w:r>
          </w:p>
        </w:tc>
      </w:tr>
      <w:tr>
        <w:tc>
          <w:tcPr>
            <w:tcW w:type="pct" w:w="2585"/>
            <w:shd w:fill="FBFAF6" w:val="clear"/>
            <w:tcMar>
              <w:top w:type="dxa" w:w="50"/>
              <w:left w:type="dxa" w:w="110"/>
              <w:bottom w:type="dxa" w:w="50"/>
              <w:right w:type="dxa" w:w="110"/>
            </w:tcMar>
          </w:tcPr>
          <w:p>
            <w:pPr>
              <w:spacing w:before="26" w:after="26"/>
            </w:pPr>
            <w:r>
              <w:rPr>
                <w:color w:val="232733"/>
                <w:sz w:val="16"/>
                <w:szCs w:val="16"/>
              </w:rPr>
              <w:t xml:space="preserve">market-based transfer price</w:t>
            </w:r>
          </w:p>
        </w:tc>
        <w:tc>
          <w:tcPr>
            <w:tcW w:type="pct" w:w="2415"/>
            <w:shd w:fill="FBFAF6" w:val="clear"/>
            <w:tcMar>
              <w:top w:type="dxa" w:w="50"/>
              <w:left w:type="dxa" w:w="110"/>
              <w:bottom w:type="dxa" w:w="50"/>
              <w:right w:type="dxa" w:w="110"/>
            </w:tcMar>
          </w:tcPr>
          <w:p>
            <w:pPr>
              <w:spacing w:before="26" w:after="26"/>
            </w:pPr>
            <w:r>
              <w:rPr>
                <w:color w:val="232733"/>
                <w:sz w:val="16"/>
                <w:szCs w:val="16"/>
              </w:rPr>
              <w:t xml:space="preserve">سعر التحويل على أساس السوق</w:t>
            </w:r>
          </w:p>
        </w:tc>
      </w:tr>
      <w:tr>
        <w:tc>
          <w:tcPr>
            <w:tcW w:type="pct" w:w="2585"/>
            <w:tcMar>
              <w:top w:type="dxa" w:w="50"/>
              <w:left w:type="dxa" w:w="110"/>
              <w:bottom w:type="dxa" w:w="50"/>
              <w:right w:type="dxa" w:w="110"/>
            </w:tcMar>
          </w:tcPr>
          <w:p>
            <w:pPr>
              <w:spacing w:before="26" w:after="26"/>
            </w:pPr>
            <w:r>
              <w:rPr>
                <w:color w:val="232733"/>
                <w:sz w:val="16"/>
                <w:szCs w:val="16"/>
              </w:rPr>
              <w:t xml:space="preserve">minimum transfer price</w:t>
            </w:r>
          </w:p>
        </w:tc>
        <w:tc>
          <w:tcPr>
            <w:tcW w:type="pct" w:w="2415"/>
            <w:tcMar>
              <w:top w:type="dxa" w:w="50"/>
              <w:left w:type="dxa" w:w="110"/>
              <w:bottom w:type="dxa" w:w="50"/>
              <w:right w:type="dxa" w:w="110"/>
            </w:tcMar>
          </w:tcPr>
          <w:p>
            <w:pPr>
              <w:spacing w:before="26" w:after="26"/>
            </w:pPr>
            <w:r>
              <w:rPr>
                <w:color w:val="232733"/>
                <w:sz w:val="16"/>
                <w:szCs w:val="16"/>
              </w:rPr>
              <w:t xml:space="preserve">الحد الأدنى لسعر التحويل</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16.6  Extended Example 16A: raising the Gulf transfer price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proposed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minimum</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making</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exists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finance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should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shifted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Liters of pressed oil needed by Tahini &amp; Spreads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Extra tariff at 5%</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Oils variable cost a liter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defensible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Oils fixed cost a liter at normal volume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authorities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Beverages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controller</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True for the company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changing</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True only for one 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market-based transfer price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delivery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works out whether a proposed price rise is worth making. The finance team proposes raising the price on 100,000 units by $0.20, moving $20,000 of profit from Jordan, taxed at 20%, to the Gulf buyer, taxed at 10%.</w:t>
      </w:r>
    </w:p>
    <w:p>
      <w:pPr>
        <w:spacing w:before="20" w:after="20"/>
        <w:ind w:left="240" w:hanging="240"/>
      </w:pPr>
      <w:r>
        <w:rPr>
          <w:b/>
          <w:bCs/>
          <w:color w:val="353A7C"/>
          <w:sz w:val="15"/>
          <w:szCs w:val="15"/>
        </w:rPr>
        <w:t xml:space="preserve">Summary 2   </w:t>
      </w:r>
      <w:r>
        <w:rPr>
          <w:color w:val="6B7280"/>
          <w:sz w:val="15"/>
          <w:szCs w:val="15"/>
        </w:rPr>
        <w:t xml:space="preserve">The gain is small, and it depends entirely on the price still being defensible to both tax authorities. The controller advises against changing the price for tax reasons alone. The net gain is $1,000 against the risk of an adjustment, and the Gulf currency and remittance rules could trap the extra profit abroad.</w:t>
      </w:r>
    </w:p>
    <w:p>
      <w:pPr>
        <w:spacing w:before="20" w:after="20"/>
        <w:ind w:left="240" w:hanging="240"/>
      </w:pPr>
      <w:r>
        <w:rPr>
          <w:b/>
          <w:bCs/>
          <w:color w:val="353A7C"/>
          <w:sz w:val="15"/>
          <w:szCs w:val="15"/>
        </w:rPr>
        <w:t xml:space="preserve">Summary 3   </w:t>
      </w:r>
      <w:r>
        <w:rPr>
          <w:color w:val="6B7280"/>
          <w:sz w:val="15"/>
          <w:szCs w:val="15"/>
        </w:rPr>
        <w:t xml:space="preserve">Company contribution on internal delivery is $6,930,000 at every transfer price. Tax saved $2,000 − duty $1,000 = $1,000.</w:t>
      </w:r>
    </w:p>
    <w:p>
      <w:pPr>
        <w:spacing w:before="20" w:after="20"/>
        <w:ind w:left="240" w:hanging="240"/>
      </w:pPr>
      <w:r>
        <w:rPr>
          <w:b/>
          <w:bCs/>
          <w:color w:val="353A7C"/>
          <w:sz w:val="15"/>
          <w:szCs w:val="15"/>
        </w:rPr>
        <w:t xml:space="preserve">Summary 4   </w:t>
      </w:r>
      <w:r>
        <w:rPr>
          <w:color w:val="6B7280"/>
          <w:sz w:val="15"/>
          <w:szCs w:val="15"/>
        </w:rPr>
        <w:t xml:space="preserve">Expect a supplying division's variable and full cost, an outside market price, an outside offer to the buyer, and a statement about capacity. Find the minimum and the maximum, say whether a range exists, and state what the company should do.</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16.1 · What a transfer price is for</w:t>
          </w:r>
        </w:p>
      </w:tc>
      <w:tc>
        <w:tcPr>
          <w:tcW w:type="pct" w:w="1400"/>
          <w:tcMar>
            <w:top w:type="dxa" w:w="-30"/>
            <w:left w:type="dxa" w:w="30"/>
            <w:bottom w:type="dxa" w:w="-30"/>
            <w:right w:type="dxa" w:w="30"/>
          </w:tcMar>
        </w:tcPr>
        <w:p>
          <w:pPr>
            <w:jc w:val="right"/>
          </w:pPr>
          <w:r>
            <w:rPr>
              <w:color w:val="6B7280"/>
              <w:sz w:val="16"/>
              <w:szCs w:val="16"/>
            </w:rPr>
            <w:t xml:space="preserve">Handout 16.1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16.2 · Five ways of setting the price</w:t>
          </w:r>
        </w:p>
      </w:tc>
      <w:tc>
        <w:tcPr>
          <w:tcW w:type="pct" w:w="1400"/>
          <w:tcMar>
            <w:top w:type="dxa" w:w="-30"/>
            <w:left w:type="dxa" w:w="30"/>
            <w:bottom w:type="dxa" w:w="-30"/>
            <w:right w:type="dxa" w:w="30"/>
          </w:tcMar>
        </w:tcPr>
        <w:p>
          <w:pPr>
            <w:jc w:val="right"/>
          </w:pPr>
          <w:r>
            <w:rPr>
              <w:color w:val="6B7280"/>
              <w:sz w:val="16"/>
              <w:szCs w:val="16"/>
            </w:rPr>
            <w:t xml:space="preserve">Handout 16.2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16.3 · The range: minimum and maximum</w:t>
          </w:r>
        </w:p>
      </w:tc>
      <w:tc>
        <w:tcPr>
          <w:tcW w:type="pct" w:w="1400"/>
          <w:tcMar>
            <w:top w:type="dxa" w:w="-30"/>
            <w:left w:type="dxa" w:w="30"/>
            <w:bottom w:type="dxa" w:w="-30"/>
            <w:right w:type="dxa" w:w="30"/>
          </w:tcMar>
        </w:tcPr>
        <w:p>
          <w:pPr>
            <w:jc w:val="right"/>
          </w:pPr>
          <w:r>
            <w:rPr>
              <w:color w:val="6B7280"/>
              <w:sz w:val="16"/>
              <w:szCs w:val="16"/>
            </w:rPr>
            <w:t xml:space="preserve">Handout 16.3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16.4 · Capacity and outside suppliers</w:t>
          </w:r>
        </w:p>
      </w:tc>
      <w:tc>
        <w:tcPr>
          <w:tcW w:type="pct" w:w="1400"/>
          <w:tcMar>
            <w:top w:type="dxa" w:w="-30"/>
            <w:left w:type="dxa" w:w="30"/>
            <w:bottom w:type="dxa" w:w="-30"/>
            <w:right w:type="dxa" w:w="30"/>
          </w:tcMar>
        </w:tcPr>
        <w:p>
          <w:pPr>
            <w:jc w:val="right"/>
          </w:pPr>
          <w:r>
            <w:rPr>
              <w:color w:val="6B7280"/>
              <w:sz w:val="16"/>
              <w:szCs w:val="16"/>
            </w:rPr>
            <w:t xml:space="preserve">Handout 16.4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16.5 · Transfers across borders</w:t>
          </w:r>
        </w:p>
      </w:tc>
      <w:tc>
        <w:tcPr>
          <w:tcW w:type="pct" w:w="1400"/>
          <w:tcMar>
            <w:top w:type="dxa" w:w="-30"/>
            <w:left w:type="dxa" w:w="30"/>
            <w:bottom w:type="dxa" w:w="-30"/>
            <w:right w:type="dxa" w:w="30"/>
          </w:tcMar>
        </w:tcPr>
        <w:p>
          <w:pPr>
            <w:jc w:val="right"/>
          </w:pPr>
          <w:r>
            <w:rPr>
              <w:color w:val="6B7280"/>
              <w:sz w:val="16"/>
              <w:szCs w:val="16"/>
            </w:rPr>
            <w:t xml:space="preserve">Handout 16.5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16.6 · Extended Example 16A: raising the Gulf transfer price</w:t>
          </w:r>
        </w:p>
      </w:tc>
      <w:tc>
        <w:tcPr>
          <w:tcW w:type="pct" w:w="1400"/>
          <w:tcMar>
            <w:top w:type="dxa" w:w="-30"/>
            <w:left w:type="dxa" w:w="30"/>
            <w:bottom w:type="dxa" w:w="-30"/>
            <w:right w:type="dxa" w:w="30"/>
          </w:tcMar>
        </w:tcPr>
        <w:p>
          <w:pPr>
            <w:jc w:val="right"/>
          </w:pPr>
          <w:r>
            <w:rPr>
              <w:color w:val="6B7280"/>
              <w:sz w:val="16"/>
              <w:szCs w:val="16"/>
            </w:rPr>
            <w:t xml:space="preserve">Handout 16.6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a8135eadc14cb72d76a5a2cf8640b260f442349c.png" Type="http://schemas.openxmlformats.org/officeDocument/2006/relationships/image"/><Relationship Id="rId102" Target="media/08cd75c993a4af78542d6af81ecc461851cb95f9.png" Type="http://schemas.openxmlformats.org/officeDocument/2006/relationships/image"/><Relationship Id="rId103" Target="media/7bbdd8796e1b557cacea1c9eb846073d7975aade.png" Type="http://schemas.openxmlformats.org/officeDocument/2006/relationships/image"/><Relationship Id="rId104" Target="media/9be7ff9397a4836b1e58d0e83b8b6dce43c44af0.png" Type="http://schemas.openxmlformats.org/officeDocument/2006/relationships/image"/><Relationship Id="rId105" Target="media/0b65d101877105bb4b53d2a4058c985effc34362.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16</dc:title>
  <dc:subject>Summary handouts</dc:subject>
  <cp:category>Student Book</cp:category>
</cp:coreProperties>
</file>