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Feedback must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arrive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Chapter 18 builds a balanced set</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Oils earns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than Tahini &amp;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turns its assets over twice as fast, so its ROI is higher.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thinner   ·   manager</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Tahini &amp;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manager   ·   Reading   ·   without   ·   warehouse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rate of return   ·   return on investment (ROI)   ·   asset turnover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thinner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 on investment (ROI)</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asset turnover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Oils earns a thinner margin than Tahini &amp; Spreads but turns its assets over twice as fast, so its ROI is higher.</w:t>
      </w:r>
    </w:p>
    <w:p>
      <w:pPr>
        <w:spacing w:before="20" w:after="20"/>
        <w:ind w:left="240" w:hanging="240"/>
      </w:pPr>
      <w:r>
        <w:rPr>
          <w:b/>
          <w:bCs/>
          <w:color w:val="353A7C"/>
          <w:sz w:val="15"/>
          <w:szCs w:val="15"/>
        </w:rPr>
        <w:t xml:space="preserve">Summary 3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Residual income (RI)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income less a capital charge: the required rate of return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the investment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operating   ·   Residual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2</w:t>
      </w:r>
      <w:r>
        <w:rPr>
          <w:color w:val="6B7280"/>
          <w:sz w:val="16"/>
          <w:szCs w:val="16"/>
        </w:rPr>
        <w:t xml:space="preserve">      gaps 4–7</w:t>
      </w:r>
    </w:p>
    <w:p>
      <w:pPr>
        <w:spacing w:before="20" w:after="20" w:line="360" w:lineRule="auto"/>
        <w:ind w:left="200"/>
      </w:pPr>
      <w:r>
        <w:rPr>
          <w:sz w:val="19"/>
          <w:szCs w:val="19"/>
        </w:rPr>
        <w:t xml:space="preserve">Complete the blank cell. </w:t>
      </w:r>
      <w:r>
        <w:rPr>
          <w:sz w:val="19"/>
          <w:szCs w:val="19"/>
        </w:rPr>
        <w:t xml:space="preserve">Residual income is an amount, not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so a large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will usually show more of it than a small one. </w:t>
      </w:r>
      <w:r>
        <w:rPr>
          <w:sz w:val="19"/>
          <w:szCs w:val="19"/>
        </w:rPr>
        <w:t xml:space="preserve">Beverages earns $1,740,000 against $120,000 for Tahini &amp; Spreads, but that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division   ·   Complete   ·   percentage   ·   performance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العائد المطلوب   ·   capital charge   ·   required rate of return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 rate of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Residual income (RI) is operating income less a capital charge: the required rate of return multiplied by the investment base.</w:t>
      </w:r>
    </w:p>
    <w:p>
      <w:pPr>
        <w:spacing w:before="20" w:after="20"/>
        <w:ind w:left="240" w:hanging="240"/>
      </w:pPr>
      <w:r>
        <w:rPr>
          <w:b/>
          <w:bCs/>
          <w:color w:val="353A7C"/>
          <w:sz w:val="15"/>
          <w:szCs w:val="15"/>
        </w:rPr>
        <w:t xml:space="preserve">Summary 2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disagree,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Beverages is offered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project: $2,500,000 of assets earning $450,000 a year, a return of 18.0%. </w:t>
      </w:r>
      <w:r>
        <w:rPr>
          <w:sz w:val="19"/>
          <w:szCs w:val="19"/>
        </w:rPr>
        <w:t xml:space="preserve">The project earns well above the 12%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below the 26.5% the division already earns, so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pulls the division's ROI down to 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accepting   ·   disagreement   ·   measures   ·   requires   ·   filling-line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Under ROI the manager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the company wants; under residual income the manager accepts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$450,000 exceeds the $300,000 capital charge by $150,000.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rejects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tcMar>
              <w:top w:type="dxa" w:w="50"/>
              <w:left w:type="dxa" w:w="110"/>
              <w:bottom w:type="dxa" w:w="50"/>
              <w:right w:type="dxa" w:w="110"/>
            </w:tcMar>
          </w:tcPr>
          <w:p>
            <w:pPr>
              <w:spacing w:before="28" w:after="28"/>
            </w:pPr>
            <w:r>
              <w:rPr>
                <w:sz w:val="15"/>
                <w:szCs w:val="15"/>
              </w:rPr>
              <w:t xml:space="preserve">Operating income</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assets   ·   asset turnover   ·   Capital charge at 12%</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required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suboptimization</w:t>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division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tcMar>
              <w:top w:type="dxa" w:w="50"/>
              <w:left w:type="dxa" w:w="110"/>
              <w:bottom w:type="dxa" w:w="50"/>
              <w:right w:type="dxa" w:w="110"/>
            </w:tcMar>
          </w:tcPr>
          <w:p>
            <w:pPr>
              <w:spacing w:before="28" w:after="28"/>
            </w:pPr>
            <w:r>
              <w:rPr>
                <w:sz w:val="15"/>
                <w:szCs w:val="15"/>
              </w:rPr>
              <w:t xml:space="preserve">Need an agreed investment base and income measure</w:t>
            </w:r>
          </w:p>
        </w:tc>
        <w:tc>
          <w:tcPr>
            <w:tcW w:type="pct" w:w="2200"/>
            <w:tcMar>
              <w:top w:type="dxa" w:w="50"/>
              <w:left w:type="dxa" w:w="110"/>
              <w:bottom w:type="dxa" w:w="50"/>
              <w:right w:type="dxa" w:w="110"/>
            </w:tcMar>
          </w:tcPr>
          <w:p>
            <w:pPr>
              <w:spacing w:before="28" w:after="28"/>
            </w:pPr>
            <w:r>
              <w:rPr>
                <w:sz w:val="15"/>
                <w:szCs w:val="15"/>
              </w:rPr>
              <w:t xml:space="preserve">Both can be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improved   ·   percentage   ·   division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A project should be judged against the required rate of return, not against the division's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ROI. </w:t>
      </w:r>
      <w:r>
        <w:rPr>
          <w:sz w:val="19"/>
          <w:szCs w:val="19"/>
        </w:rPr>
        <w:t xml:space="preserve">Any project above the required return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residual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raises   ·   Beverages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investment base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 at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requires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raises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rejects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assets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 The project earns well above the 12% the company requires, but below the 26.5% the division already earns, so accepting it pulls the division's ROI down to 25.0%.</w:t>
      </w:r>
    </w:p>
    <w:p>
      <w:pPr>
        <w:spacing w:before="20" w:after="20"/>
        <w:ind w:left="240" w:hanging="240"/>
      </w:pPr>
      <w:r>
        <w:rPr>
          <w:b/>
          <w:bCs/>
          <w:color w:val="353A7C"/>
          <w:sz w:val="15"/>
          <w:szCs w:val="15"/>
        </w:rPr>
        <w:t xml:space="preserve">Summary 2   </w:t>
      </w:r>
      <w:r>
        <w:rPr>
          <w:color w:val="6B7280"/>
          <w:sz w:val="15"/>
          <w:szCs w:val="15"/>
        </w:rPr>
        <w:t xml:space="preserve">Under ROI the manager rejects a project the company wants; under residual income the manager accepts it, because $450,000 exceeds the $300,000 capital charge by $150,000.</w:t>
      </w:r>
    </w:p>
    <w:p>
      <w:pPr>
        <w:spacing w:before="20" w:after="20"/>
        <w:ind w:left="240" w:hanging="240"/>
      </w:pPr>
      <w:r>
        <w:rPr>
          <w:b/>
          <w:bCs/>
          <w:color w:val="353A7C"/>
          <w:sz w:val="15"/>
          <w:szCs w:val="15"/>
        </w:rPr>
        <w:t xml:space="preserve">Summary 3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7"/>
        <w:gridCol w:w="4224"/>
        <w:gridCol w:w="313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65"/>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35"/>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65"/>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recognising revenue earlier reports more income now</w:t>
            </w:r>
          </w:p>
        </w:tc>
        <w:tc>
          <w:tcPr>
            <w:tcW w:type="pct" w:w="1635"/>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165"/>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35"/>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65"/>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method changes income and assets</w:t>
            </w:r>
          </w:p>
        </w:tc>
        <w:tc>
          <w:tcPr>
            <w:tcW w:type="pct" w:w="1635"/>
            <w:tcMar>
              <w:top w:type="dxa" w:w="50"/>
              <w:left w:type="dxa" w:w="110"/>
              <w:bottom w:type="dxa" w:w="50"/>
              <w:right w:type="dxa" w:w="110"/>
            </w:tcMar>
          </w:tcPr>
          <w:p>
            <w:pPr>
              <w:spacing w:before="28" w:after="28"/>
            </w:pPr>
            <w:r>
              <w:rPr>
                <w:sz w:val="15"/>
                <w:szCs w:val="15"/>
              </w:rPr>
              <w:t xml:space="preserve">Use one group policy for internal reporting</w:t>
            </w:r>
          </w:p>
        </w:tc>
      </w:tr>
      <w:tr>
        <w:tc>
          <w:tcPr>
            <w:tcW w:type="pct" w:w="1165"/>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35"/>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accelerated   ·   Compare only divisions using the same policy   ·   Adjust before comparing, or agree one policy   ·   One division capitalises it, another expenses it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earlier, or expenses development that another capitalises, will report different income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work. </w:t>
      </w:r>
      <w:r>
        <w:rPr>
          <w:sz w:val="19"/>
          <w:szCs w:val="19"/>
        </w:rPr>
        <w:t xml:space="preserve">Comparison then measures the policy, not the performance. </w:t>
      </w:r>
      <w:r>
        <w:rPr>
          <w:sz w:val="19"/>
          <w:szCs w:val="19"/>
        </w:rPr>
        <w:t xml:space="preserve">The group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group policy before any division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restated   ·   figures   ·   compared   ·   identical   ·   statements   ·   therefore   ·   recognises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10"/>
        <w:gridCol w:w="4224"/>
        <w:gridCol w:w="356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43"/>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1857"/>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43"/>
            <w:tcMar>
              <w:top w:type="dxa" w:w="50"/>
              <w:left w:type="dxa" w:w="110"/>
              <w:bottom w:type="dxa" w:w="50"/>
              <w:right w:type="dxa" w:w="110"/>
            </w:tcMar>
          </w:tcPr>
          <w:p>
            <w:pPr>
              <w:spacing w:before="28" w:after="28"/>
            </w:pPr>
            <w:r>
              <w:rPr>
                <w:sz w:val="15"/>
                <w:szCs w:val="15"/>
              </w:rPr>
              <w:t xml:space="preserve">Inventory method</w:t>
            </w:r>
          </w:p>
        </w:tc>
        <w:tc>
          <w:tcPr>
            <w:tcW w:type="pct" w:w="2200"/>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43"/>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857"/>
            <w:shd w:fill="FBFAF6" w:val="clear"/>
            <w:tcMar>
              <w:top w:type="dxa" w:w="50"/>
              <w:left w:type="dxa" w:w="110"/>
              <w:bottom w:type="dxa" w:w="50"/>
              <w:right w:type="dxa" w:w="110"/>
            </w:tcMar>
          </w:tcPr>
          <w:p>
            <w:pPr>
              <w:spacing w:before="28" w:after="28"/>
            </w:pPr>
            <w:r>
              <w:rPr>
                <w:sz w:val="15"/>
                <w:szCs w:val="15"/>
              </w:rPr>
              <w:t xml:space="preserve">Allocate the asset on the same basis as its cost, or exclude it from both</w:t>
            </w:r>
          </w:p>
        </w:tc>
      </w:tr>
      <w:tr>
        <w:tc>
          <w:tcPr>
            <w:tcW w:type="pct" w:w="943"/>
            <w:tcMar>
              <w:top w:type="dxa" w:w="50"/>
              <w:left w:type="dxa" w:w="110"/>
              <w:bottom w:type="dxa" w:w="50"/>
              <w:right w:type="dxa" w:w="110"/>
            </w:tcMar>
          </w:tcPr>
          <w:p>
            <w:pPr>
              <w:spacing w:before="28" w:after="28"/>
            </w:pPr>
            <w:r>
              <w:rPr>
                <w:sz w:val="15"/>
                <w:szCs w:val="15"/>
              </w:rPr>
              <w:t xml:space="preserve">Gross or net book value</w:t>
            </w:r>
          </w:p>
        </w:tc>
        <w:tc>
          <w:tcPr>
            <w:tcW w:type="pct" w:w="2200"/>
            <w:tcMar>
              <w:top w:type="dxa" w:w="50"/>
              <w:left w:type="dxa" w:w="110"/>
              <w:bottom w:type="dxa" w:w="50"/>
              <w:right w:type="dxa" w:w="110"/>
            </w:tcMar>
          </w:tcPr>
          <w:p>
            <w:pPr>
              <w:spacing w:before="28" w:after="28"/>
            </w:pPr>
            <w:r>
              <w:rPr>
                <w:sz w:val="15"/>
                <w:szCs w:val="15"/>
              </w:rPr>
              <w:t xml:space="preserve">Beverages: 26.5% on net book value, 15.9% on gross</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943"/>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2200"/>
            <w:shd w:fill="FBFAF6" w:val="clear"/>
            <w:tcMar>
              <w:top w:type="dxa" w:w="50"/>
              <w:left w:type="dxa" w:w="110"/>
              <w:bottom w:type="dxa" w:w="50"/>
              <w:right w:type="dxa" w:w="110"/>
            </w:tcMar>
          </w:tcPr>
          <w:p>
            <w:pPr>
              <w:spacing w:before="28" w:after="28"/>
            </w:pPr>
            <w:r>
              <w:rPr>
                <w:sz w:val="15"/>
                <w:szCs w:val="15"/>
              </w:rPr>
              <w:t xml:space="preserve">A leased plant may or may not appear in the base</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43"/>
            <w:tcMar>
              <w:top w:type="dxa" w:w="50"/>
              <w:left w:type="dxa" w:w="110"/>
              <w:bottom w:type="dxa" w:w="50"/>
              <w:right w:type="dxa" w:w="110"/>
            </w:tcMar>
          </w:tcPr>
          <w:p>
            <w:pPr>
              <w:spacing w:before="28" w:after="28"/>
            </w:pPr>
            <w:r>
              <w:rPr>
                <w:sz w:val="15"/>
                <w:szCs w:val="15"/>
              </w:rPr>
              <w:t xml:space="preserve">Idle or non-operating assets</w:t>
            </w:r>
          </w:p>
        </w:tc>
        <w:tc>
          <w:tcPr>
            <w:tcW w:type="pct" w:w="2200"/>
            <w:tcMar>
              <w:top w:type="dxa" w:w="50"/>
              <w:left w:type="dxa" w:w="110"/>
              <w:bottom w:type="dxa" w:w="50"/>
              <w:right w:type="dxa" w:w="110"/>
            </w:tcMar>
          </w:tcPr>
          <w:p>
            <w:pPr>
              <w:spacing w:before="28" w:after="28"/>
            </w:pPr>
            <w:r>
              <w:rPr>
                <w:sz w:val="15"/>
                <w:szCs w:val="15"/>
              </w:rPr>
              <w:t xml:space="preserve">Land held for sale is not used to earn operating income</w:t>
            </w:r>
          </w:p>
        </w:tc>
        <w:tc>
          <w:tcPr>
            <w:tcW w:type="pct" w:w="1857"/>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 one rule across all divisions   ·   Exclude it from the investment base   ·   Straight line against an accelerated method changes income and assets   ·   Net book value flatters divisions with old assets   ·   The shared cold store of Chapter 15 serves two divisions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16–21</w:t>
      </w:r>
    </w:p>
    <w:p>
      <w:pPr>
        <w:spacing w:before="20" w:after="20" w:line="360" w:lineRule="auto"/>
        <w:ind w:left="200"/>
      </w:pPr>
      <w:r>
        <w:rPr>
          <w:sz w:val="19"/>
          <w:szCs w:val="19"/>
        </w:rPr>
        <w:t xml:space="preserve">The last one matters most. </w:t>
      </w:r>
      <w:r>
        <w:rPr>
          <w:sz w:val="19"/>
          <w:szCs w:val="19"/>
        </w:rPr>
        <w:t xml:space="preserve">Beverages shows 26.5% on net book value but only 15.9% on the gross cost of $20,000,000,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than one that has just invested, which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exactly the investment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performance. </w:t>
      </w:r>
      <w:r>
        <w:rPr>
          <w:sz w:val="19"/>
          <w:szCs w:val="19"/>
        </w:rPr>
        <w:t xml:space="preserve">What matters is that every division uses the same one, and that the basis is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the figures.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depreciated   ·   discourages   ·   question   ·   stated   ·   defended   ·   because   ·   better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Before comparing two divisions, ask whether both use the same inventory method, the same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of shared assets, and the same basis for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A difference in any of them makes the comparison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exactly   ·   property   ·   treatment   ·   meaningless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 only divisions using the same policy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Net book value flatters divisions with old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Follow one rule across all 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accelerated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Exclude it from the investment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recognises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better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treatment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property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shared cold store of Chapter 15 serves two divisions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meaningless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the manager rejects the project   ·   required return 12%   ·   $840,000 − 12% × $6,000,000 = $120,000</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ROI falls by 1.5 points, which the manager will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residual income rises by $150,000, which is the company's gain. </w:t>
      </w:r>
      <w:r>
        <w:rPr>
          <w:sz w:val="19"/>
          <w:szCs w:val="19"/>
        </w:rPr>
        <w:t xml:space="preserve">The board approved the line, and changed how the Beverages manager is judged: residual income for investment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ROI for comparing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Both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reported   ·   decisions   ·   resist   ·   divisions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Beverages ROI 17.7% × 1.50 = 26.5%;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segment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the new line</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ROI   ·   Extra operating income it would earn each year   ·   Division operating assets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asset turnover   ·   Supports rejecting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العائد على الاستثمار   ·   residual income (RI)</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 the manager rejects the project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resist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residual income (RI)</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ROI falls by 1.5 points, which the manager will resist; residual income rises by $150,000, which is the company's gain. 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e7e8f8eb6f21d8c05cb6ae62f10f881515f38f9.png" Type="http://schemas.openxmlformats.org/officeDocument/2006/relationships/image"/><Relationship Id="rId102" Target="media/4ee5ac974acd2576f6585c0eaf3fd0a713e4b190.png" Type="http://schemas.openxmlformats.org/officeDocument/2006/relationships/image"/><Relationship Id="rId103" Target="media/ce2f8d35b861e08b66d44c35f76ce8ed574d0592.png" Type="http://schemas.openxmlformats.org/officeDocument/2006/relationships/image"/><Relationship Id="rId104" Target="media/9c29775f39318da020479aac69899ee02b329a5a.png" Type="http://schemas.openxmlformats.org/officeDocument/2006/relationships/image"/><Relationship Id="rId105" Target="media/6aa975cbb1bedf67fe0373375259b9c297e5c38a.png" Type="http://schemas.openxmlformats.org/officeDocument/2006/relationships/image"/><Relationship Id="rId106" Target="media/19b9a73b5bdb92a40b89fb9d983cc515ba13e898.png" Type="http://schemas.openxmlformats.org/officeDocument/2006/relationships/image"/><Relationship Id="rId107" Target="media/fdbcde5b97bc71ea240c715b5d396fff84515f1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17</dc:title>
  <dc:subject>Summary handouts</dc:subject>
  <cp:category>Student Book</cp:category>
</cp:coreProperties>
</file>