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18.1  Critical success factors and KPIs</w:t>
            </w:r>
          </w:p>
          <w:p>
            <w:pPr>
              <w:spacing w:before="0" w:after="46"/>
            </w:pPr>
            <w:r>
              <w:rPr>
                <w:color w:val="E8EAF6"/>
                <w:sz w:val="16"/>
                <w:szCs w:val="16"/>
              </w:rPr>
              <w:t xml:space="preserve">Chapter 18 · section 18.1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18,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Extended Example 18A: recommending measures fo   ·   Reading a scorecard and reporting it   ·   The strategy map   ·   The balanced scorecard and its four perspectiv</w:t>
            </w:r>
          </w:p>
        </w:tc>
      </w:tr>
    </w:tbl>
    <w:p/>
    <w:p>
      <w:pPr>
        <w:spacing w:before="44" w:after="14"/>
      </w:pPr>
      <w:r>
        <w:rPr>
          <w:b/>
          <w:bCs/>
          <w:color w:val="353A7C"/>
          <w:sz w:val="18"/>
          <w:szCs w:val="18"/>
        </w:rPr>
        <w:t xml:space="preserve">Summary 1</w:t>
      </w:r>
      <w:r>
        <w:rPr>
          <w:color w:val="6B7280"/>
          <w:sz w:val="16"/>
          <w:szCs w:val="16"/>
        </w:rPr>
        <w:t xml:space="preserve">      gaps 4–7</w:t>
      </w:r>
    </w:p>
    <w:p>
      <w:pPr>
        <w:spacing w:before="20" w:after="20" w:line="360" w:lineRule="auto"/>
        <w:ind w:left="200"/>
      </w:pPr>
      <w:r>
        <w:rPr>
          <w:sz w:val="19"/>
          <w:szCs w:val="19"/>
        </w:rPr>
        <w:t xml:space="preserve">A critical success factor (CSF) is something 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must do well if its strategy is to succeed. </w:t>
      </w:r>
      <w:r>
        <w:rPr>
          <w:sz w:val="19"/>
          <w:szCs w:val="19"/>
        </w:rPr>
        <w:t xml:space="preserve">A key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indicator (KPI) is the measure that shows how well it is being done. </w:t>
      </w:r>
      <w:r>
        <w:rPr>
          <w:sz w:val="19"/>
          <w:szCs w:val="19"/>
        </w:rPr>
        <w:t xml:space="preserve">The CSF is the thing; the KPI is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Every one traces back to 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number   ·   something   ·   objective   ·   performance   ·   organization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312"/>
        <w:gridCol w:w="306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Critical success factors and the KPI for each</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Critical success factor</w:t>
            </w:r>
          </w:p>
        </w:tc>
        <w:tc>
          <w:tcPr>
            <w:tcW w:type="pct" w:w="1204"/>
            <w:shd w:fill="353A7C" w:val="clear"/>
            <w:tcMar>
              <w:top w:type="dxa" w:w="50"/>
              <w:left w:type="dxa" w:w="110"/>
              <w:bottom w:type="dxa" w:w="50"/>
              <w:right w:type="dxa" w:w="110"/>
            </w:tcMar>
          </w:tcPr>
          <w:p>
            <w:pPr>
              <w:spacing w:before="30" w:after="30"/>
            </w:pPr>
            <w:r>
              <w:rPr>
                <w:b/>
                <w:bCs/>
                <w:color w:val="FFFFFF"/>
                <w:sz w:val="15"/>
                <w:szCs w:val="15"/>
              </w:rPr>
              <w:t xml:space="preserve">KPI that measures it</w:t>
            </w:r>
          </w:p>
        </w:tc>
        <w:tc>
          <w:tcPr>
            <w:tcW w:type="pct" w:w="1596"/>
            <w:shd w:fill="353A7C" w:val="clear"/>
            <w:tcMar>
              <w:top w:type="dxa" w:w="50"/>
              <w:left w:type="dxa" w:w="110"/>
              <w:bottom w:type="dxa" w:w="50"/>
              <w:right w:type="dxa" w:w="110"/>
            </w:tcMar>
          </w:tcPr>
          <w:p>
            <w:pPr>
              <w:spacing w:before="30" w:after="30"/>
            </w:pPr>
            <w:r>
              <w:rPr>
                <w:b/>
                <w:bCs/>
                <w:color w:val="FFFFFF"/>
                <w:sz w:val="15"/>
                <w:szCs w:val="15"/>
              </w:rPr>
              <w:t xml:space="preserve">2028</w:t>
            </w:r>
          </w:p>
        </w:tc>
      </w:tr>
      <w:tr>
        <w:tc>
          <w:tcPr>
            <w:tcW w:type="pct" w:w="2200"/>
            <w:tcMar>
              <w:top w:type="dxa" w:w="50"/>
              <w:left w:type="dxa" w:w="110"/>
              <w:bottom w:type="dxa" w:w="50"/>
              <w:right w:type="dxa" w:w="110"/>
            </w:tcMar>
          </w:tcPr>
          <w:p>
            <w:pPr>
              <w:spacing w:before="28" w:after="28"/>
            </w:pPr>
            <w:r>
              <w:rPr>
                <w:sz w:val="15"/>
                <w:szCs w:val="15"/>
              </w:rPr>
              <w:t xml:space="preserve">Win export customers in the Gulf</w:t>
            </w:r>
          </w:p>
        </w:tc>
        <w:tc>
          <w:tcPr>
            <w:tcW w:type="pct" w:w="1204"/>
            <w:tcMar>
              <w:top w:type="dxa" w:w="50"/>
              <w:left w:type="dxa" w:w="110"/>
              <w:bottom w:type="dxa" w:w="50"/>
              <w:right w:type="dxa" w:w="110"/>
            </w:tcMar>
          </w:tcPr>
          <w:p>
            <w:pPr>
              <w:spacing w:before="28" w:after="28"/>
            </w:pPr>
            <w:r>
              <w:rPr>
                <w:sz w:val="15"/>
                <w:szCs w:val="15"/>
              </w:rPr>
              <w:t xml:space="preserve">Export share of revenue</w:t>
            </w:r>
          </w:p>
        </w:tc>
        <w:tc>
          <w:tcPr>
            <w:tcW w:type="pct" w:w="1596"/>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Deliver reliably</w:t>
            </w:r>
          </w:p>
        </w:tc>
        <w:tc>
          <w:tcPr>
            <w:tcW w:type="pct" w:w="1204"/>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596"/>
            <w:shd w:fill="FBFAF6" w:val="clear"/>
            <w:tcMar>
              <w:top w:type="dxa" w:w="50"/>
              <w:left w:type="dxa" w:w="110"/>
              <w:bottom w:type="dxa" w:w="50"/>
              <w:right w:type="dxa" w:w="110"/>
            </w:tcMar>
          </w:tcPr>
          <w:p>
            <w:pPr>
              <w:spacing w:before="28" w:after="28"/>
            </w:pPr>
            <w:r>
              <w:rPr>
                <w:sz w:val="15"/>
                <w:szCs w:val="15"/>
              </w:rPr>
              <w:t xml:space="preserve">target 97%, actual 94%</w:t>
            </w:r>
          </w:p>
        </w:tc>
      </w:tr>
      <w:tr>
        <w:tc>
          <w:tcPr>
            <w:tcW w:type="pct" w:w="2200"/>
            <w:tcMar>
              <w:top w:type="dxa" w:w="50"/>
              <w:left w:type="dxa" w:w="110"/>
              <w:bottom w:type="dxa" w:w="50"/>
              <w:right w:type="dxa" w:w="110"/>
            </w:tcMar>
          </w:tcPr>
          <w:p>
            <w:pPr>
              <w:spacing w:before="28" w:after="28"/>
            </w:pPr>
            <w:r>
              <w:rPr>
                <w:sz w:val="15"/>
                <w:szCs w:val="15"/>
              </w:rPr>
              <w:t xml:space="preserve">Run the plant without long stoppages</w:t>
            </w:r>
          </w:p>
        </w:tc>
        <w:tc>
          <w:tcPr>
            <w:tcW w:type="pct" w:w="1204"/>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596"/>
            <w:tcMar>
              <w:top w:type="dxa" w:w="50"/>
              <w:left w:type="dxa" w:w="110"/>
              <w:bottom w:type="dxa" w:w="50"/>
              <w:right w:type="dxa" w:w="110"/>
            </w:tcMar>
          </w:tcPr>
          <w:p>
            <w:pPr>
              <w:spacing w:before="28" w:after="28"/>
            </w:pPr>
            <w:r>
              <w:rPr>
                <w:sz w:val="15"/>
                <w:szCs w:val="15"/>
              </w:rPr>
              <w:t xml:space="preserve">target 30 minutes, actual 42</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Keep skilled operators</w:t>
            </w:r>
          </w:p>
        </w:tc>
        <w:tc>
          <w:tcPr>
            <w:tcW w:type="pct" w:w="1204"/>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596"/>
            <w:shd w:fill="FBFAF6" w:val="clear"/>
            <w:tcMar>
              <w:top w:type="dxa" w:w="50"/>
              <w:left w:type="dxa" w:w="110"/>
              <w:bottom w:type="dxa" w:w="50"/>
              <w:right w:type="dxa" w:w="110"/>
            </w:tcMar>
          </w:tcPr>
          <w:p>
            <w:pPr>
              <w:spacing w:before="28" w:after="28"/>
            </w:pPr>
            <w:r>
              <w:rPr>
                <w:sz w:val="15"/>
                <w:szCs w:val="15"/>
              </w:rPr>
              <w:t xml:space="preserve">turnover target 8%, actual 7%</w:t>
            </w:r>
          </w:p>
        </w:tc>
      </w:tr>
      <w:tr>
        <w:tc>
          <w:tcPr>
            <w:tcW w:type="pct" w:w="2200"/>
            <w:tcMar>
              <w:top w:type="dxa" w:w="50"/>
              <w:left w:type="dxa" w:w="110"/>
              <w:bottom w:type="dxa" w:w="50"/>
              <w:right w:type="dxa" w:w="110"/>
            </w:tcMar>
          </w:tcPr>
          <w:p>
            <w:pPr>
              <w:spacing w:before="28" w:after="28"/>
            </w:pPr>
            <w:r>
              <w:rPr>
                <w:sz w:val="15"/>
                <w:szCs w:val="15"/>
              </w:rPr>
              <w:t xml:space="preserve">Earn the return the group requires</w:t>
            </w:r>
          </w:p>
        </w:tc>
        <w:tc>
          <w:tcPr>
            <w:tcW w:type="pct" w:w="1204"/>
            <w:tcMar>
              <w:top w:type="dxa" w:w="50"/>
              <w:left w:type="dxa" w:w="110"/>
              <w:bottom w:type="dxa" w:w="50"/>
              <w:right w:type="dxa" w:w="110"/>
            </w:tcMar>
          </w:tcPr>
          <w:p>
            <w:pPr>
              <w:spacing w:before="28" w:after="28"/>
            </w:pPr>
            <w:r>
              <w:rPr>
                <w:sz w:val="15"/>
                <w:szCs w:val="15"/>
              </w:rPr>
              <w:t xml:space="preserve">Return on investment</w:t>
            </w:r>
          </w:p>
        </w:tc>
        <w:tc>
          <w:tcPr>
            <w:tcW w:type="pct" w:w="1596"/>
            <w:shd w:fill="FFFFFF" w:val="clear"/>
            <w:tcMar>
              <w:top w:type="dxa" w:w="50"/>
              <w:left w:type="dxa" w:w="110"/>
              <w:bottom w:type="dxa" w:w="50"/>
              <w:right w:type="dxa" w:w="110"/>
            </w:tcMar>
          </w:tcPr>
          <w:p>
            <w:pPr>
              <w:spacing w:before="46" w:after="46"/>
            </w:pPr>
            <w:r>
              <w:rPr>
                <w:b/>
                <w:bCs/>
                <w:color w:val="8186EF"/>
                <w:sz w:val="14"/>
                <w:szCs w:val="14"/>
              </w:rPr>
              <w:t xml:space="preserve">(12)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Training hours and staff turnover   ·   target 20.4%, actual 19.6%   ·   Changeover time   ·   balanced scorecard   ·   On-time delivery   ·   target 11.8%, actual 12.6%</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The pair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because a measure without a factor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it is noise, and a factor without a measure is a wish. </w:t>
      </w:r>
      <w:r>
        <w:rPr>
          <w:sz w:val="19"/>
          <w:szCs w:val="19"/>
        </w:rPr>
        <w:t xml:space="preserve">Together they tell a manager what to work on and show whether the work is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because   ·   behind   ·   matters   ·   succeeding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critical success factor (CSF)</w:t>
            </w:r>
          </w:p>
        </w:tc>
        <w:tc>
          <w:tcPr>
            <w:tcW w:type="pct" w:w="2400"/>
            <w:tcMar>
              <w:top w:type="dxa" w:w="50"/>
              <w:left w:type="dxa" w:w="110"/>
              <w:bottom w:type="dxa" w:w="50"/>
              <w:right w:type="dxa" w:w="110"/>
            </w:tcMar>
          </w:tcPr>
          <w:p>
            <w:pPr>
              <w:spacing w:before="26" w:after="26"/>
            </w:pPr>
            <w:r>
              <w:rPr>
                <w:color w:val="232733"/>
                <w:sz w:val="16"/>
                <w:szCs w:val="16"/>
              </w:rPr>
              <w:t xml:space="preserve">عامل النجاح الحاسم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key performance indicator (KPI)</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مؤشر الأداء الرئيسي</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18.1  Critical success factors and KPIs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balanced scorecard and its four perspectiv</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On-time delivery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strategy map</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Changeover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18A: recommending measures fo</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Training hours and staff turnover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organization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target 11.8%, actual 12.6%</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performance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matters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number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behind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objective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succeeding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target 20.4%, actual 19.6%</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critical success factor (CSF) is something an organization must do well if its strategy is to succeed. A key performance indicator (KPI) is the measure that shows how well it is being done. The CSF is the thing; the KPI is the number. Every one traces back to an objective set.</w:t>
      </w:r>
    </w:p>
    <w:p>
      <w:pPr>
        <w:spacing w:before="20" w:after="20"/>
        <w:ind w:left="240" w:hanging="240"/>
      </w:pPr>
      <w:r>
        <w:rPr>
          <w:b/>
          <w:bCs/>
          <w:color w:val="353A7C"/>
          <w:sz w:val="15"/>
          <w:szCs w:val="15"/>
        </w:rPr>
        <w:t xml:space="preserve">Summary 2   </w:t>
      </w:r>
      <w:r>
        <w:rPr>
          <w:color w:val="6B7280"/>
          <w:sz w:val="15"/>
          <w:szCs w:val="15"/>
        </w:rPr>
        <w:t xml:space="preserve">The pair matters because a measure without a factor behind it is noise, and a factor without a measure is a wish. Together they tell a manager what to work on and show whether the work is succeeding.</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18.2  The balanced scorecard and its four perspectives</w:t>
            </w:r>
          </w:p>
          <w:p>
            <w:pPr>
              <w:spacing w:before="0" w:after="46"/>
            </w:pPr>
            <w:r>
              <w:rPr>
                <w:color w:val="E8EAF6"/>
                <w:sz w:val="16"/>
                <w:szCs w:val="16"/>
              </w:rPr>
              <w:t xml:space="preserve">Chapter 18 · section 18.2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 balanced scorecard is a set of measures drawn from four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each with its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measures, targets and the actions planned to reach them. </w:t>
      </w:r>
      <w:r>
        <w:rPr>
          <w:sz w:val="19"/>
          <w:szCs w:val="19"/>
        </w:rPr>
        <w:t xml:space="preserve">It is balanced because financial results alone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only what has already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Each perspective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same four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what the company wants to achieve, the measure that tracks it, the target for the period and the action planned to reach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happened   ·   perspectives   ·   objectives   ·   carries   ·   learning   ·   describe   ·   components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Orontes scorecard for 2028</w:t>
            </w:r>
          </w:p>
        </w:tc>
      </w:tr>
    </w:tbl>
    <w:p/>
    <w:p>
      <w:pPr>
        <w:spacing w:before="44" w:after="14"/>
      </w:pPr>
      <w:r>
        <w:rPr>
          <w:b/>
          <w:bCs/>
          <w:color w:val="353A7C"/>
          <w:sz w:val="18"/>
          <w:szCs w:val="18"/>
        </w:rPr>
        <w:t xml:space="preserve">Summary 2</w:t>
      </w:r>
      <w:r>
        <w:rPr>
          <w:color w:val="6B7280"/>
          <w:sz w:val="16"/>
          <w:szCs w:val="16"/>
        </w:rPr>
        <w:t xml:space="preserve">      gaps 7–9</w:t>
      </w:r>
    </w:p>
    <w:p>
      <w:pPr>
        <w:spacing w:before="20" w:after="20" w:line="360" w:lineRule="auto"/>
        <w:ind w:left="200"/>
      </w:pPr>
      <w:r>
        <w:rPr>
          <w:sz w:val="19"/>
          <w:szCs w:val="19"/>
        </w:rPr>
        <w:t xml:space="preserve">The financial perspective holds the return and growth measures, and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perspective covers exports, delivery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process perspective covers the plant, and the learning and growth perspective covers people and new products.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internal   ·   complaints   ·   perspective   ·   customer</w:t>
            </w:r>
          </w:p>
        </w:tc>
      </w:tr>
    </w:tbl>
    <w:p/>
    <w:p>
      <w:pPr>
        <w:spacing w:before="44" w:after="10"/>
      </w:pPr>
      <w:r>
        <w:rPr>
          <w:b/>
          <w:bCs/>
          <w:color w:val="353A7C"/>
          <w:sz w:val="18"/>
          <w:szCs w:val="18"/>
        </w:rPr>
        <w:t xml:space="preserve">Worked example: the Orontes balanced scorecard for 2028</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25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255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strategy map   ·   Internal process   ·   Learning and growth</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last two perspectives</w:t>
            </w:r>
          </w:p>
        </w:tc>
      </w:tr>
    </w:tbl>
    <w:p/>
    <w:p>
      <w:pPr>
        <w:spacing w:before="20" w:after="20" w:line="360" w:lineRule="auto"/>
        <w:ind w:left="200"/>
      </w:pPr>
      <w:r>
        <w:rPr>
          <w:sz w:val="19"/>
          <w:szCs w:val="19"/>
        </w:rPr>
        <w:t xml:space="preserve">Complete the blank cells.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Balanced means four perspectives, not four financial ratios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12–16</w:t>
      </w:r>
    </w:p>
    <w:p>
      <w:pPr>
        <w:spacing w:before="20" w:after="20" w:line="360" w:lineRule="auto"/>
        <w:ind w:left="200"/>
      </w:pPr>
      <w:r>
        <w:rPr>
          <w:sz w:val="19"/>
          <w:szCs w:val="19"/>
        </w:rPr>
        <w:t xml:space="preserve">A scorecard with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margin, return and growth on it is not balanced; it measures the same thing four ways. </w:t>
      </w:r>
      <w:r>
        <w:rPr>
          <w:sz w:val="19"/>
          <w:szCs w:val="19"/>
        </w:rPr>
        <w:t xml:space="preserve">Each perspective must bring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others do not. </w:t>
      </w:r>
      <w:r>
        <w:rPr>
          <w:sz w:val="19"/>
          <w:szCs w:val="19"/>
        </w:rPr>
        <w:t xml:space="preserve">The scorecard is not a report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after the year. </w:t>
      </w:r>
      <w:r>
        <w:rPr>
          <w:sz w:val="19"/>
          <w:szCs w:val="19"/>
        </w:rPr>
        <w:t xml:space="preserve">It is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with the plan,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during the year, and used to decide what to do next, which is why.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profit   ·   reviewed   ·   agreed   ·   measures   ·   produced   ·   information</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6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3063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learning and growth perspective   ·   customer perspective   ·   key performance indicator (KPI)</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balanced scorecard</w:t>
            </w:r>
          </w:p>
        </w:tc>
        <w:tc>
          <w:tcPr>
            <w:tcW w:type="pct" w:w="2400"/>
            <w:tcMar>
              <w:top w:type="dxa" w:w="50"/>
              <w:left w:type="dxa" w:w="110"/>
              <w:bottom w:type="dxa" w:w="50"/>
              <w:right w:type="dxa" w:w="110"/>
            </w:tcMar>
          </w:tcPr>
          <w:p>
            <w:pPr>
              <w:spacing w:before="26" w:after="26"/>
            </w:pPr>
            <w:r>
              <w:rPr>
                <w:color w:val="232733"/>
                <w:sz w:val="16"/>
                <w:szCs w:val="16"/>
              </w:rPr>
              <w:t xml:space="preserve">بطاقة الأداء المتوازن</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financial perspective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المنظور المالي</w:t>
            </w:r>
          </w:p>
        </w:tc>
      </w:tr>
      <w:tr>
        <w:tc>
          <w:tcPr>
            <w:tcW w:type="pct" w:w="2600"/>
            <w:tcMar>
              <w:top w:type="dxa" w:w="50"/>
              <w:left w:type="dxa" w:w="110"/>
              <w:bottom w:type="dxa" w:w="50"/>
              <w:right w:type="dxa" w:w="110"/>
            </w:tcMar>
          </w:tcPr>
          <w:p>
            <w:pPr>
              <w:spacing w:before="26" w:after="26"/>
            </w:pPr>
            <w:r>
              <w:rPr>
                <w:color w:val="232733"/>
                <w:sz w:val="16"/>
                <w:szCs w:val="16"/>
              </w:rPr>
              <w:t xml:space="preserve">customer perspective</w:t>
            </w:r>
          </w:p>
        </w:tc>
        <w:tc>
          <w:tcPr>
            <w:tcW w:type="pct" w:w="2400"/>
            <w:tcMar>
              <w:top w:type="dxa" w:w="50"/>
              <w:left w:type="dxa" w:w="110"/>
              <w:bottom w:type="dxa" w:w="50"/>
              <w:right w:type="dxa" w:w="110"/>
            </w:tcMar>
          </w:tcPr>
          <w:p>
            <w:pPr>
              <w:spacing w:before="26" w:after="26"/>
            </w:pPr>
            <w:r>
              <w:rPr>
                <w:color w:val="232733"/>
                <w:sz w:val="16"/>
                <w:szCs w:val="16"/>
              </w:rPr>
              <w:t xml:space="preserve">منظور العملاء</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internal process perspective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منظور العمليات الداخلية</w:t>
            </w:r>
          </w:p>
        </w:tc>
      </w:tr>
      <w:tr>
        <w:tc>
          <w:tcPr>
            <w:tcW w:type="pct" w:w="2600"/>
            <w:tcMar>
              <w:top w:type="dxa" w:w="50"/>
              <w:left w:type="dxa" w:w="110"/>
              <w:bottom w:type="dxa" w:w="50"/>
              <w:right w:type="dxa" w:w="110"/>
            </w:tcMar>
          </w:tcPr>
          <w:p>
            <w:pPr>
              <w:spacing w:before="26" w:after="26"/>
            </w:pPr>
            <w:r>
              <w:rPr>
                <w:color w:val="232733"/>
                <w:sz w:val="16"/>
                <w:szCs w:val="16"/>
              </w:rPr>
              <w:t xml:space="preserve">learning and growth perspective</w:t>
            </w:r>
          </w:p>
        </w:tc>
        <w:tc>
          <w:tcPr>
            <w:tcW w:type="pct" w:w="2400"/>
            <w:tcMar>
              <w:top w:type="dxa" w:w="50"/>
              <w:left w:type="dxa" w:w="110"/>
              <w:bottom w:type="dxa" w:w="50"/>
              <w:right w:type="dxa" w:w="110"/>
            </w:tcMar>
          </w:tcPr>
          <w:p>
            <w:pPr>
              <w:spacing w:before="26" w:after="26"/>
            </w:pPr>
            <w:r>
              <w:rPr>
                <w:color w:val="232733"/>
                <w:sz w:val="16"/>
                <w:szCs w:val="16"/>
              </w:rPr>
              <w:t xml:space="preserve">منظور التعلم والنمو</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18.2  The balanced scorecard and its four perspectives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perspectives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Learning and growth</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objectives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Internal process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describe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happened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information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carries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produced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components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agreed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customer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reviewed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complaints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customer perspective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internal</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learning and growth perspective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balanced scorecard is a set of measures drawn from four perspectives, each with its objectives, measures, targets and the actions planned to reach them. It is balanced because financial results alone describe only what has already happened. Each perspective carries the same four components: what the company wants to achieve, the measure that tracks it, the target for the period and the action planned to reach it.</w:t>
      </w:r>
    </w:p>
    <w:p>
      <w:pPr>
        <w:spacing w:before="20" w:after="20"/>
        <w:ind w:left="240" w:hanging="240"/>
      </w:pPr>
      <w:r>
        <w:rPr>
          <w:b/>
          <w:bCs/>
          <w:color w:val="353A7C"/>
          <w:sz w:val="15"/>
          <w:szCs w:val="15"/>
        </w:rPr>
        <w:t xml:space="preserve">Summary 2   </w:t>
      </w:r>
      <w:r>
        <w:rPr>
          <w:color w:val="6B7280"/>
          <w:sz w:val="15"/>
          <w:szCs w:val="15"/>
        </w:rPr>
        <w:t xml:space="preserve">The financial perspective holds the return and growth measures, and the customer perspective covers exports, delivery and complaints. The internal process perspective covers the plant, and the learning and growth perspective covers people and new products.</w:t>
      </w:r>
    </w:p>
    <w:p>
      <w:pPr>
        <w:spacing w:before="20" w:after="20"/>
        <w:ind w:left="240" w:hanging="240"/>
      </w:pPr>
      <w:r>
        <w:rPr>
          <w:b/>
          <w:bCs/>
          <w:color w:val="353A7C"/>
          <w:sz w:val="15"/>
          <w:szCs w:val="15"/>
        </w:rPr>
        <w:t xml:space="preserve">Summary 3   </w:t>
      </w:r>
      <w:r>
        <w:rPr>
          <w:color w:val="6B7280"/>
          <w:sz w:val="15"/>
          <w:szCs w:val="15"/>
        </w:rPr>
        <w:t xml:space="preserve">A scorecard with profit, margin, return and growth on it is not balanced; it measures the same thing four ways. Each perspective must bring information the others do not. The scorecard is not a report produced after the year. It is agreed with the plan, reviewed during the year, and used to decide what to do next, which is why.</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18.3  What makes a scorecard effective</w:t>
            </w:r>
          </w:p>
          <w:p>
            <w:pPr>
              <w:spacing w:before="0" w:after="46"/>
            </w:pPr>
            <w:r>
              <w:rPr>
                <w:color w:val="E8EAF6"/>
                <w:sz w:val="16"/>
                <w:szCs w:val="16"/>
              </w:rPr>
              <w:t xml:space="preserve">Chapter 18 · section 18.3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 scorecard fails more often from its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than from its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commonest fault is too many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A board that reviews forty numbers reviews none of them,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whose bonus depends on a long list will work on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easiest to move.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commonest is a measure nobody owns. </w:t>
      </w:r>
      <w:r>
        <w:rPr>
          <w:sz w:val="19"/>
          <w:szCs w:val="19"/>
        </w:rPr>
        <w:t xml:space="preserve">Every measure on the Orontes scorecard has a manager who can influence it, which is the controllability principle.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whichever   ·   second   ·   measures   ·   design   ·   arithmetic   ·   principle   ·   managers</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 and an instance of it.</w:t>
      </w:r>
    </w:p>
    <w:p>
      <w:pPr>
        <w:spacing w:after="40" w:before="90"/>
        <w:jc w:val="center"/>
      </w:pPr>
      <w:r>
        <w:drawing>
          <wp:inline distT="0" distB="0" distL="0" distR="0">
            <wp:extent cx="5734050" cy="374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3749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Balanced   ·   Owned   ·   Reviewed   ·   financial perspective</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18.3  What makes a scorecard effective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design</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second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arithmetic</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Balanced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measures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Owned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managers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Reviewed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whichever</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scorecard fails more often from its design than from its arithmetic. The commonest fault is too many measures. A board that reviews forty numbers reviews none of them, and managers whose bonus depends on a long list will work on whichever is easiest to move. The second commonest is a measure nobody owns. Every measure on the Orontes scorecard has a manager who can influence it, which is the controllability principle.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18.4  The strategy map</w:t>
            </w:r>
          </w:p>
          <w:p>
            <w:pPr>
              <w:spacing w:before="0" w:after="46"/>
            </w:pPr>
            <w:r>
              <w:rPr>
                <w:color w:val="E8EAF6"/>
                <w:sz w:val="16"/>
                <w:szCs w:val="16"/>
              </w:rPr>
              <w:t xml:space="preserve">Chapter 18 · section 18.4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 strategy map draws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links between the objectives in the four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It is read upward: investment in people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processes, better processes satisfy customers,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customers produce the financial result. </w:t>
      </w:r>
      <w:r>
        <w:rPr>
          <w:sz w:val="19"/>
          <w:szCs w:val="19"/>
        </w:rPr>
        <w:t xml:space="preserve">This is the chain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long changeover that raised costs also delayed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map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why leading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matter. </w:t>
      </w:r>
      <w:r>
        <w:rPr>
          <w:sz w:val="19"/>
          <w:szCs w:val="19"/>
        </w:rPr>
        <w:t xml:space="preserve">Training hours and changeover time move before the financial result does, so they give warning while there is still time to act. </w:t>
      </w:r>
      <w:r>
        <w:rPr>
          <w:sz w:val="19"/>
          <w:szCs w:val="19"/>
        </w:rPr>
        <w:t xml:space="preserve">A lagging indicator such as return on investment reports a year that is already over.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improves   ·   variances   ·   explains   ·   satisfied   ·   reports   ·   perspectives   ·   deliveries   ·   cause-and-effect   ·   indicators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خريطة الاستراتيجية   ·   leading indicator   ·   strategy map</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54"/>
        <w:gridCol w:w="464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8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2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80"/>
            <w:tcMar>
              <w:top w:type="dxa" w:w="50"/>
              <w:left w:type="dxa" w:w="110"/>
              <w:bottom w:type="dxa" w:w="50"/>
              <w:right w:type="dxa" w:w="110"/>
            </w:tcMar>
          </w:tcPr>
          <w:p>
            <w:pPr>
              <w:spacing w:before="26" w:after="26"/>
            </w:pPr>
            <w:r>
              <w:rPr>
                <w:color w:val="232733"/>
                <w:sz w:val="16"/>
                <w:szCs w:val="16"/>
              </w:rPr>
              <w:t xml:space="preserve">strategy map</w:t>
            </w:r>
          </w:p>
        </w:tc>
        <w:tc>
          <w:tcPr>
            <w:tcW w:type="pct" w:w="2420"/>
            <w:tcMar>
              <w:top w:type="dxa" w:w="50"/>
              <w:left w:type="dxa" w:w="110"/>
              <w:bottom w:type="dxa" w:w="50"/>
              <w:right w:type="dxa" w:w="110"/>
            </w:tcMar>
          </w:tcPr>
          <w:p>
            <w:pPr>
              <w:spacing w:before="26" w:after="26"/>
            </w:pPr>
            <w:r>
              <w:rPr>
                <w:color w:val="232733"/>
                <w:sz w:val="16"/>
                <w:szCs w:val="16"/>
              </w:rPr>
              <w:t xml:space="preserve">خريطة الاستراتيجية</w:t>
            </w:r>
          </w:p>
        </w:tc>
      </w:tr>
      <w:tr>
        <w:tc>
          <w:tcPr>
            <w:tcW w:type="pct" w:w="2580"/>
            <w:shd w:fill="FBFAF6" w:val="clear"/>
            <w:tcMar>
              <w:top w:type="dxa" w:w="50"/>
              <w:left w:type="dxa" w:w="110"/>
              <w:bottom w:type="dxa" w:w="50"/>
              <w:right w:type="dxa" w:w="110"/>
            </w:tcMar>
          </w:tcPr>
          <w:p>
            <w:pPr>
              <w:spacing w:before="26" w:after="26"/>
            </w:pPr>
            <w:r>
              <w:rPr>
                <w:color w:val="232733"/>
                <w:sz w:val="16"/>
                <w:szCs w:val="16"/>
              </w:rPr>
              <w:t xml:space="preserve">leading indicator</w:t>
            </w:r>
          </w:p>
        </w:tc>
        <w:tc>
          <w:tcPr>
            <w:tcW w:type="pct" w:w="2420"/>
            <w:shd w:fill="FBFAF6" w:val="clear"/>
            <w:tcMar>
              <w:top w:type="dxa" w:w="50"/>
              <w:left w:type="dxa" w:w="110"/>
              <w:bottom w:type="dxa" w:w="50"/>
              <w:right w:type="dxa" w:w="110"/>
            </w:tcMar>
          </w:tcPr>
          <w:p>
            <w:pPr>
              <w:spacing w:before="26" w:after="26"/>
            </w:pPr>
            <w:r>
              <w:rPr>
                <w:color w:val="232733"/>
                <w:sz w:val="16"/>
                <w:szCs w:val="16"/>
              </w:rPr>
              <w:t xml:space="preserve">مؤشر استباقي</w:t>
            </w:r>
          </w:p>
        </w:tc>
      </w:tr>
      <w:tr>
        <w:tc>
          <w:tcPr>
            <w:tcW w:type="pct" w:w="2580"/>
            <w:tcMar>
              <w:top w:type="dxa" w:w="50"/>
              <w:left w:type="dxa" w:w="110"/>
              <w:bottom w:type="dxa" w:w="50"/>
              <w:right w:type="dxa" w:w="110"/>
            </w:tcMar>
          </w:tcPr>
          <w:p>
            <w:pPr>
              <w:spacing w:before="26" w:after="26"/>
            </w:pPr>
            <w:r>
              <w:rPr>
                <w:color w:val="232733"/>
                <w:sz w:val="16"/>
                <w:szCs w:val="16"/>
              </w:rPr>
              <w:t xml:space="preserve">lagging indicator</w:t>
            </w:r>
          </w:p>
        </w:tc>
        <w:tc>
          <w:tcPr>
            <w:tcW w:type="pct" w:w="2420"/>
            <w:tcMar>
              <w:top w:type="dxa" w:w="50"/>
              <w:left w:type="dxa" w:w="110"/>
              <w:bottom w:type="dxa" w:w="50"/>
              <w:right w:type="dxa" w:w="110"/>
            </w:tcMar>
          </w:tcPr>
          <w:p>
            <w:pPr>
              <w:spacing w:before="26" w:after="26"/>
            </w:pPr>
            <w:r>
              <w:rPr>
                <w:color w:val="232733"/>
                <w:sz w:val="16"/>
                <w:szCs w:val="16"/>
              </w:rPr>
              <w:t xml:space="preserve">مؤشر لاحق</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18.4  The strategy map</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cause-and-effect</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deliveries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perspectives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explains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improves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indicators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satisfied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strategy map</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variances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leading indicator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strategy map draws the cause-and-effect links between the objectives in the four perspectives. It is read upward: investment in people improves processes, better processes satisfy customers, and satisfied customers produce the financial result. This is the chain the variances: the long changeover that raised costs also delayed deliveries. The map explains why leading indicators matter. Training hours and changeover time move before the financial result does, so they give warning while there is still time to act. A lagging indicator such as return on investment reports a year that is already over.</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18.5  Reading a scorecard and reporting it</w:t>
            </w:r>
          </w:p>
          <w:p>
            <w:pPr>
              <w:spacing w:before="0" w:after="46"/>
            </w:pPr>
            <w:r>
              <w:rPr>
                <w:color w:val="E8EAF6"/>
                <w:sz w:val="16"/>
                <w:szCs w:val="16"/>
              </w:rPr>
              <w:t xml:space="preserve">Chapter 18 · section 18.5</w:t>
            </w:r>
          </w:p>
        </w:tc>
      </w:tr>
    </w:tbl>
    <w:p/>
    <w:p>
      <w:pPr>
        <w:spacing w:before="10" w:after="40"/>
      </w:pPr>
      <w:r>
        <w:rPr>
          <w:color w:val="6B7280"/>
          <w:sz w:val="17"/>
          <w:szCs w:val="17"/>
        </w:rPr>
        <w:t xml:space="preserve">Fill every gap. Each word list holds one word more than there are gaps.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what the 2028 scorecard says</w:t>
            </w:r>
          </w:p>
        </w:tc>
      </w:tr>
    </w:tbl>
    <w:p/>
    <w:p>
      <w:pPr>
        <w:spacing w:before="20" w:after="20" w:line="360" w:lineRule="auto"/>
        <w:ind w:left="200"/>
      </w:pPr>
      <w:r>
        <w:rPr>
          <w:sz w:val="19"/>
          <w:szCs w:val="19"/>
        </w:rPr>
        <w:t xml:space="preserve">Every financial measure was met, and only two of the six customer and internal-process measures.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Worked example: reading the 2028 scorecard</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Perspective</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Result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What it says</w:t>
            </w:r>
          </w:p>
        </w:tc>
      </w:tr>
      <w:tr>
        <w:tc>
          <w:tcPr>
            <w:tcW w:type="pct" w:w="2042"/>
            <w:tcMar>
              <w:top w:type="dxa" w:w="50"/>
              <w:left w:type="dxa" w:w="110"/>
              <w:bottom w:type="dxa" w:w="50"/>
              <w:right w:type="dxa" w:w="110"/>
            </w:tcMar>
          </w:tcPr>
          <w:p>
            <w:pPr>
              <w:spacing w:before="28" w:after="28"/>
            </w:pPr>
            <w:r>
              <w:rPr>
                <w:sz w:val="15"/>
                <w:szCs w:val="15"/>
              </w:rPr>
              <w:t xml:space="preserve">The financial perspective</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(1)</w:t>
            </w:r>
          </w:p>
        </w:tc>
        <w:tc>
          <w:tcPr>
            <w:tcW w:type="pct" w:w="2200"/>
            <w:tcMar>
              <w:top w:type="dxa" w:w="50"/>
              <w:left w:type="dxa" w:w="110"/>
              <w:bottom w:type="dxa" w:w="50"/>
              <w:right w:type="dxa" w:w="110"/>
            </w:tcMar>
          </w:tcPr>
          <w:p>
            <w:pPr>
              <w:spacing w:before="28" w:after="28"/>
            </w:pPr>
            <w:r>
              <w:rPr>
                <w:sz w:val="15"/>
                <w:szCs w:val="15"/>
              </w:rPr>
              <w:t xml:space="preserve">The year was good. These are lagging indicators</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The customer perspective</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2200"/>
            <w:shd w:fill="FBFAF6" w:val="clear"/>
            <w:tcMar>
              <w:top w:type="dxa" w:w="50"/>
              <w:left w:type="dxa" w:w="110"/>
              <w:bottom w:type="dxa" w:w="50"/>
              <w:right w:type="dxa" w:w="110"/>
            </w:tcMar>
          </w:tcPr>
          <w:p>
            <w:pPr>
              <w:spacing w:before="28" w:after="28"/>
            </w:pPr>
            <w:r>
              <w:rPr>
                <w:sz w:val="15"/>
                <w:szCs w:val="15"/>
              </w:rPr>
              <w:t xml:space="preserve">Export share and delivery both missed: the strategy of Chapter 1 is behind</w:t>
            </w:r>
          </w:p>
        </w:tc>
      </w:tr>
      <w:tr>
        <w:tc>
          <w:tcPr>
            <w:tcW w:type="pct" w:w="2042"/>
            <w:tcMar>
              <w:top w:type="dxa" w:w="50"/>
              <w:left w:type="dxa" w:w="110"/>
              <w:bottom w:type="dxa" w:w="50"/>
              <w:right w:type="dxa" w:w="110"/>
            </w:tcMar>
          </w:tcPr>
          <w:p>
            <w:pPr>
              <w:spacing w:before="28" w:after="28"/>
            </w:pPr>
            <w:r>
              <w:rPr>
                <w:sz w:val="15"/>
                <w:szCs w:val="15"/>
              </w:rPr>
              <w:t xml:space="preserve">Internal process</w:t>
            </w:r>
          </w:p>
        </w:tc>
        <w:tc>
          <w:tcPr>
            <w:tcW w:type="pct" w:w="758"/>
            <w:tcMar>
              <w:top w:type="dxa" w:w="50"/>
              <w:left w:type="dxa" w:w="110"/>
              <w:bottom w:type="dxa" w:w="50"/>
              <w:right w:type="dxa" w:w="110"/>
            </w:tcMar>
          </w:tcPr>
          <w:p>
            <w:pPr>
              <w:spacing w:before="28" w:after="28"/>
            </w:pPr>
            <w:r>
              <w:rPr>
                <w:sz w:val="15"/>
                <w:szCs w:val="15"/>
              </w:rPr>
              <w:t xml:space="preserve">1 of 3 met</w:t>
            </w:r>
          </w:p>
        </w:tc>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(3) </w:t>
            </w:r>
            <w:r>
              <w:rPr>
                <w:u w:val="single"/>
                <w:sz w:val="15"/>
                <w:szCs w:val="15"/>
              </w:rPr>
              <w:t xml:space="preserve">              </w:t>
            </w:r>
            <w:r>
              <w:rPr>
                <w:sz w:val="15"/>
                <w:szCs w:val="15"/>
              </w:rPr>
              <w:t xml:space="preserve"> </w:t>
            </w:r>
            <w:r>
              <w:rPr>
                <w:sz w:val="15"/>
                <w:szCs w:val="15"/>
              </w:rPr>
              <w:t xml:space="preserve"> time explains the variances of Chapters 12 and 14</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Learning and growth</w:t>
            </w:r>
          </w:p>
        </w:tc>
        <w:tc>
          <w:tcPr>
            <w:tcW w:type="pct" w:w="758"/>
            <w:shd w:fill="FBFAF6" w:val="clear"/>
            <w:tcMar>
              <w:top w:type="dxa" w:w="50"/>
              <w:left w:type="dxa" w:w="110"/>
              <w:bottom w:type="dxa" w:w="50"/>
              <w:right w:type="dxa" w:w="110"/>
            </w:tcMar>
          </w:tcPr>
          <w:p>
            <w:pPr>
              <w:spacing w:before="28" w:after="28"/>
            </w:pPr>
            <w:r>
              <w:rPr>
                <w:sz w:val="15"/>
                <w:szCs w:val="15"/>
              </w:rPr>
              <w:t xml:space="preserve">2 of 3 met</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042"/>
            <w:tcMar>
              <w:top w:type="dxa" w:w="50"/>
              <w:left w:type="dxa" w:w="110"/>
              <w:bottom w:type="dxa" w:w="50"/>
              <w:right w:type="dxa" w:w="110"/>
            </w:tcMar>
          </w:tcPr>
          <w:p>
            <w:pPr>
              <w:spacing w:before="28" w:after="28"/>
            </w:pPr>
            <w:r>
              <w:rPr>
                <w:sz w:val="15"/>
                <w:szCs w:val="15"/>
              </w:rPr>
              <w:t xml:space="preserve">Overall</w:t>
            </w:r>
          </w:p>
        </w:tc>
        <w:tc>
          <w:tcPr>
            <w:tcW w:type="pct" w:w="758"/>
            <w:tcMar>
              <w:top w:type="dxa" w:w="50"/>
              <w:left w:type="dxa" w:w="110"/>
              <w:bottom w:type="dxa" w:w="50"/>
              <w:right w:type="dxa" w:w="110"/>
            </w:tcMar>
          </w:tcPr>
          <w:p>
            <w:pPr>
              <w:spacing w:before="28" w:after="28"/>
            </w:pPr>
            <w:r>
              <w:rPr>
                <w:sz w:val="15"/>
                <w:szCs w:val="15"/>
              </w:rPr>
              <w:t xml:space="preserve">7 of 12 met</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Changeover   ·   Good results now, weak drivers for next year   ·   1 of 3 met   ·   3 of 3 met   ·   learning and growth perspective   ·   Training is on track, but new products are not</w:t>
            </w:r>
          </w:p>
        </w:tc>
      </w:tr>
    </w:tbl>
    <w:p/>
    <w:p>
      <w:pPr>
        <w:spacing w:before="44" w:after="14"/>
      </w:pPr>
      <w:r>
        <w:rPr>
          <w:b/>
          <w:bCs/>
          <w:color w:val="353A7C"/>
          <w:sz w:val="18"/>
          <w:szCs w:val="18"/>
        </w:rPr>
        <w:t xml:space="preserve">Summary 1</w:t>
      </w:r>
      <w:r>
        <w:rPr>
          <w:color w:val="6B7280"/>
          <w:sz w:val="16"/>
          <w:szCs w:val="16"/>
        </w:rPr>
        <w:t xml:space="preserve">      gaps 6–9</w:t>
      </w:r>
    </w:p>
    <w:p>
      <w:pPr>
        <w:spacing w:before="20" w:after="20" w:line="360" w:lineRule="auto"/>
        <w:ind w:left="200"/>
      </w:pP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reading is that 2028 was a good year that is not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 good 2029. </w:t>
      </w:r>
      <w:r>
        <w:rPr>
          <w:sz w:val="19"/>
          <w:szCs w:val="19"/>
        </w:rPr>
        <w:t xml:space="preserve">Export share and delivery both missed, and those are the drivers of the strategy set. </w:t>
      </w:r>
      <w:r>
        <w:rPr>
          <w:sz w:val="19"/>
          <w:szCs w:val="19"/>
        </w:rPr>
        <w:t xml:space="preserve">How often each measure is reported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 much as the measure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itself   ·   matters   ·   building   ·   board's   ·   measures</w:t>
            </w:r>
          </w:p>
        </w:tc>
      </w:tr>
    </w:tbl>
    <w:p/>
    <w:p>
      <w:pPr>
        <w:spacing w:before="44" w:after="10"/>
      </w:pPr>
      <w:r>
        <w:rPr>
          <w:b/>
          <w:bCs/>
          <w:color w:val="353A7C"/>
          <w:sz w:val="18"/>
          <w:szCs w:val="18"/>
        </w:rPr>
        <w:t xml:space="preserve">How often each measure is reported</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73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731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Return on investment   ·   Scrap rate   ·   Residual income (USD)   ·   Revenue growth   ·   Complaints per 1,000 cases   ·   New products share of revenue   ·   Export share of revenue   ·   Staff turnover   ·   Energy a case (kWh)</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Match the interval to the decision</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18–19</w:t>
      </w:r>
    </w:p>
    <w:p>
      <w:pPr>
        <w:spacing w:before="20" w:after="20" w:line="360" w:lineRule="auto"/>
        <w:ind w:left="200"/>
      </w:pPr>
      <w:r>
        <w:rPr>
          <w:sz w:val="19"/>
          <w:szCs w:val="19"/>
        </w:rPr>
        <w:t xml:space="preserve">A measure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be reported as often as it can change and be acted on. </w:t>
      </w:r>
      <w:r>
        <w:rPr>
          <w:sz w:val="19"/>
          <w:szCs w:val="19"/>
        </w:rPr>
        <w:t xml:space="preserve">Monthly reporting of a daily problem wastes a month; daily reporting of an annual measure wastes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   ·   attention   ·   should</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18.5  Reading a scorecard and reporting it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3 of 3 met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Revenue growth</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1 of 3 met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Export share of 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Changeover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Complaints per 1,000 cases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Training is on track, but new products are not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Energy a case (kWh)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Good results now, weak drivers for next year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Scrap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board's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New products share of 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building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Staff turnover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matters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should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itself</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attention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Return on investment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board's reading is that 2028 was a good year that is not building a good 2029. Export share and delivery both missed, and those are the drivers of the strategy set. How often each measure is reported matters as much as the measure itself.</w:t>
      </w:r>
    </w:p>
    <w:p>
      <w:pPr>
        <w:spacing w:before="20" w:after="20"/>
        <w:ind w:left="240" w:hanging="240"/>
      </w:pPr>
      <w:r>
        <w:rPr>
          <w:b/>
          <w:bCs/>
          <w:color w:val="353A7C"/>
          <w:sz w:val="15"/>
          <w:szCs w:val="15"/>
        </w:rPr>
        <w:t xml:space="preserve">Summary 2   </w:t>
      </w:r>
      <w:r>
        <w:rPr>
          <w:color w:val="6B7280"/>
          <w:sz w:val="15"/>
          <w:szCs w:val="15"/>
        </w:rPr>
        <w:t xml:space="preserve">A measure should be reported as often as it can change and be acted on. Monthly reporting of a daily problem wastes a month; daily reporting of an annual measure wastes attention.</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18.6  Extended Example 18A: recommending measures for next year</w:t>
            </w:r>
          </w:p>
          <w:p>
            <w:pPr>
              <w:spacing w:before="0" w:after="46"/>
            </w:pPr>
            <w:r>
              <w:rPr>
                <w:color w:val="E8EAF6"/>
                <w:sz w:val="16"/>
                <w:szCs w:val="16"/>
              </w:rPr>
              <w:t xml:space="preserve">Chapter 18 · section 18.6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board asks for a short list of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to put right what 2028 missed, for use in 2029. </w:t>
      </w:r>
      <w:r>
        <w:rPr>
          <w:sz w:val="19"/>
          <w:szCs w:val="19"/>
        </w:rPr>
        <w:t xml:space="preserve">This example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builds   ·   targets   ·   measures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90"/>
        <w:gridCol w:w="4224"/>
        <w:gridCol w:w="1091"/>
        <w:gridCol w:w="1595"/>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recommended measures for next year</w:t>
            </w:r>
          </w:p>
        </w:tc>
      </w:tr>
      <w:tr>
        <w:tc>
          <w:tcPr>
            <w:tcW w:type="pct" w:w="1401"/>
            <w:shd w:fill="353A7C" w:val="clear"/>
            <w:tcMar>
              <w:top w:type="dxa" w:w="50"/>
              <w:left w:type="dxa" w:w="110"/>
              <w:bottom w:type="dxa" w:w="50"/>
              <w:right w:type="dxa" w:w="110"/>
            </w:tcMar>
          </w:tcPr>
          <w:p>
            <w:pPr>
              <w:spacing w:before="30" w:after="30"/>
            </w:pPr>
            <w:r>
              <w:rPr>
                <w:b/>
                <w:bCs/>
                <w:color w:val="FFFFFF"/>
                <w:sz w:val="15"/>
                <w:szCs w:val="15"/>
              </w:rPr>
              <w:t xml:space="preserve">Operational goal (C.3.r)</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Recommended measure</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Reported</w:t>
            </w:r>
          </w:p>
        </w:tc>
        <w:tc>
          <w:tcPr>
            <w:tcW w:type="pct" w:w="831"/>
            <w:shd w:fill="353A7C" w:val="clear"/>
            <w:tcMar>
              <w:top w:type="dxa" w:w="50"/>
              <w:left w:type="dxa" w:w="110"/>
              <w:bottom w:type="dxa" w:w="50"/>
              <w:right w:type="dxa" w:w="110"/>
            </w:tcMar>
          </w:tcPr>
          <w:p>
            <w:pPr>
              <w:spacing w:before="30" w:after="30"/>
            </w:pPr>
            <w:r>
              <w:rPr>
                <w:b/>
                <w:bCs/>
                <w:color w:val="FFFFFF"/>
                <w:sz w:val="15"/>
                <w:szCs w:val="15"/>
              </w:rPr>
              <w:t xml:space="preserve">Owner</w:t>
            </w:r>
          </w:p>
        </w:tc>
      </w:tr>
      <w:tr>
        <w:tc>
          <w:tcPr>
            <w:tcW w:type="pct" w:w="1401"/>
            <w:tcMar>
              <w:top w:type="dxa" w:w="50"/>
              <w:left w:type="dxa" w:w="110"/>
              <w:bottom w:type="dxa" w:w="50"/>
              <w:right w:type="dxa" w:w="110"/>
            </w:tcMar>
          </w:tcPr>
          <w:p>
            <w:pPr>
              <w:spacing w:before="28" w:after="28"/>
            </w:pPr>
            <w:r>
              <w:rPr>
                <w:sz w:val="15"/>
                <w:szCs w:val="15"/>
              </w:rPr>
              <w:t xml:space="preserve">Shorten changeovers</w:t>
            </w:r>
          </w:p>
        </w:tc>
        <w:tc>
          <w:tcPr>
            <w:tcW w:type="pct" w:w="2200"/>
            <w:tcMar>
              <w:top w:type="dxa" w:w="50"/>
              <w:left w:type="dxa" w:w="110"/>
              <w:bottom w:type="dxa" w:w="50"/>
              <w:right w:type="dxa" w:w="110"/>
            </w:tcMar>
          </w:tcPr>
          <w:p>
            <w:pPr>
              <w:spacing w:before="28" w:after="28"/>
            </w:pPr>
            <w:r>
              <w:rPr>
                <w:sz w:val="15"/>
                <w:szCs w:val="15"/>
              </w:rPr>
              <w:t xml:space="preserve">Changeover time in minutes</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831"/>
            <w:tcMar>
              <w:top w:type="dxa" w:w="50"/>
              <w:left w:type="dxa" w:w="110"/>
              <w:bottom w:type="dxa" w:w="50"/>
              <w:right w:type="dxa" w:w="110"/>
            </w:tcMar>
          </w:tcPr>
          <w:p>
            <w:pPr>
              <w:spacing w:before="28" w:after="28"/>
            </w:pPr>
            <w:r>
              <w:rPr>
                <w:sz w:val="15"/>
                <w:szCs w:val="15"/>
              </w:rPr>
              <w:t xml:space="preserve">Plant manager</w:t>
            </w:r>
          </w:p>
        </w:tc>
      </w:tr>
      <w:tr>
        <w:tc>
          <w:tcPr>
            <w:tcW w:type="pct" w:w="1401"/>
            <w:shd w:fill="FBFAF6" w:val="clear"/>
            <w:tcMar>
              <w:top w:type="dxa" w:w="50"/>
              <w:left w:type="dxa" w:w="110"/>
              <w:bottom w:type="dxa" w:w="50"/>
              <w:right w:type="dxa" w:w="110"/>
            </w:tcMar>
          </w:tcPr>
          <w:p>
            <w:pPr>
              <w:spacing w:before="28" w:after="28"/>
            </w:pPr>
            <w:r>
              <w:rPr>
                <w:sz w:val="15"/>
                <w:szCs w:val="15"/>
              </w:rPr>
              <w:t xml:space="preserve">Improve delivery</w:t>
            </w:r>
          </w:p>
        </w:tc>
        <w:tc>
          <w:tcPr>
            <w:tcW w:type="pct" w:w="2200"/>
            <w:shd w:fill="FBFAF6" w:val="clear"/>
            <w:tcMar>
              <w:top w:type="dxa" w:w="50"/>
              <w:left w:type="dxa" w:w="110"/>
              <w:bottom w:type="dxa" w:w="50"/>
              <w:right w:type="dxa" w:w="110"/>
            </w:tcMar>
          </w:tcPr>
          <w:p>
            <w:pPr>
              <w:spacing w:before="28" w:after="28"/>
            </w:pPr>
            <w:r>
              <w:rPr>
                <w:sz w:val="15"/>
                <w:szCs w:val="15"/>
              </w:rPr>
              <w:t xml:space="preserve">On-time delivery to Levant and the Gulf</w:t>
            </w:r>
          </w:p>
        </w:tc>
        <w:tc>
          <w:tcPr>
            <w:tcW w:type="pct" w:w="568"/>
            <w:shd w:fill="FBFAF6" w:val="clear"/>
            <w:tcMar>
              <w:top w:type="dxa" w:w="50"/>
              <w:left w:type="dxa" w:w="110"/>
              <w:bottom w:type="dxa" w:w="50"/>
              <w:right w:type="dxa" w:w="110"/>
            </w:tcMar>
          </w:tcPr>
          <w:p>
            <w:pPr>
              <w:spacing w:before="28" w:after="28"/>
            </w:pPr>
            <w:r>
              <w:rPr>
                <w:sz w:val="15"/>
                <w:szCs w:val="15"/>
              </w:rPr>
              <w:t xml:space="preserve">Weekly</w:t>
            </w:r>
          </w:p>
        </w:tc>
        <w:tc>
          <w:tcPr>
            <w:tcW w:type="pct" w:w="831"/>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1401"/>
            <w:tcMar>
              <w:top w:type="dxa" w:w="50"/>
              <w:left w:type="dxa" w:w="110"/>
              <w:bottom w:type="dxa" w:w="50"/>
              <w:right w:type="dxa" w:w="110"/>
            </w:tcMar>
          </w:tcPr>
          <w:p>
            <w:pPr>
              <w:spacing w:before="28" w:after="28"/>
            </w:pPr>
            <w:r>
              <w:rPr>
                <w:sz w:val="15"/>
                <w:szCs w:val="15"/>
              </w:rPr>
              <w:t xml:space="preserve">Grow exports</w:t>
            </w:r>
          </w:p>
        </w:tc>
        <w:tc>
          <w:tcPr>
            <w:tcW w:type="pct" w:w="2200"/>
            <w:tcMar>
              <w:top w:type="dxa" w:w="50"/>
              <w:left w:type="dxa" w:w="110"/>
              <w:bottom w:type="dxa" w:w="50"/>
              <w:right w:type="dxa" w:w="110"/>
            </w:tcMar>
          </w:tcPr>
          <w:p>
            <w:pPr>
              <w:spacing w:before="28" w:after="28"/>
            </w:pPr>
            <w:r>
              <w:rPr>
                <w:sz w:val="15"/>
                <w:szCs w:val="15"/>
              </w:rPr>
              <w:t xml:space="preserve">Export share of revenue</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831"/>
            <w:tcMar>
              <w:top w:type="dxa" w:w="50"/>
              <w:left w:type="dxa" w:w="110"/>
              <w:bottom w:type="dxa" w:w="50"/>
              <w:right w:type="dxa" w:w="110"/>
            </w:tcMar>
          </w:tcPr>
          <w:p>
            <w:pPr>
              <w:spacing w:before="28" w:after="28"/>
            </w:pPr>
            <w:r>
              <w:rPr>
                <w:sz w:val="15"/>
                <w:szCs w:val="15"/>
              </w:rPr>
              <w:t xml:space="preserve">Sales director</w:t>
            </w:r>
          </w:p>
        </w:tc>
      </w:tr>
      <w:tr>
        <w:tc>
          <w:tcPr>
            <w:tcW w:type="pct" w:w="1401"/>
            <w:shd w:fill="FBFAF6" w:val="clear"/>
            <w:tcMar>
              <w:top w:type="dxa" w:w="50"/>
              <w:left w:type="dxa" w:w="110"/>
              <w:bottom w:type="dxa" w:w="50"/>
              <w:right w:type="dxa" w:w="110"/>
            </w:tcMar>
          </w:tcPr>
          <w:p>
            <w:pPr>
              <w:spacing w:before="28" w:after="28"/>
            </w:pPr>
            <w:r>
              <w:rPr>
                <w:sz w:val="15"/>
                <w:szCs w:val="15"/>
              </w:rPr>
              <w:t xml:space="preserve">Launch new products</w:t>
            </w:r>
          </w:p>
        </w:tc>
        <w:tc>
          <w:tcPr>
            <w:tcW w:type="pct" w:w="2200"/>
            <w:shd w:fill="FBFAF6" w:val="clear"/>
            <w:tcMar>
              <w:top w:type="dxa" w:w="50"/>
              <w:left w:type="dxa" w:w="110"/>
              <w:bottom w:type="dxa" w:w="50"/>
              <w:right w:type="dxa" w:w="110"/>
            </w:tcMar>
          </w:tcPr>
          <w:p>
            <w:pPr>
              <w:spacing w:before="28" w:after="28"/>
            </w:pPr>
            <w:r>
              <w:rPr>
                <w:sz w:val="15"/>
                <w:szCs w:val="15"/>
              </w:rPr>
              <w:t xml:space="preserve">Share of revenue from products under three years old</w:t>
            </w:r>
          </w:p>
        </w:tc>
        <w:tc>
          <w:tcPr>
            <w:tcW w:type="pct" w:w="568"/>
            <w:shd w:fill="FBFAF6" w:val="clear"/>
            <w:tcMar>
              <w:top w:type="dxa" w:w="50"/>
              <w:left w:type="dxa" w:w="110"/>
              <w:bottom w:type="dxa" w:w="50"/>
              <w:right w:type="dxa" w:w="110"/>
            </w:tcMar>
          </w:tcPr>
          <w:p>
            <w:pPr>
              <w:spacing w:before="28" w:after="28"/>
            </w:pPr>
            <w:r>
              <w:rPr>
                <w:sz w:val="15"/>
                <w:szCs w:val="15"/>
              </w:rPr>
              <w:t xml:space="preserve">Quarterly</w:t>
            </w:r>
          </w:p>
        </w:tc>
        <w:tc>
          <w:tcPr>
            <w:tcW w:type="pct" w:w="831"/>
            <w:shd w:fill="FFFFFF" w:val="clear"/>
            <w:tcMar>
              <w:top w:type="dxa" w:w="50"/>
              <w:left w:type="dxa" w:w="110"/>
              <w:bottom w:type="dxa" w:w="50"/>
              <w:right w:type="dxa" w:w="110"/>
            </w:tcMar>
          </w:tcPr>
          <w:p>
            <w:pPr>
              <w:spacing w:before="46" w:after="46"/>
            </w:pPr>
            <w:r>
              <w:rPr>
                <w:b/>
                <w:bCs/>
                <w:color w:val="8186EF"/>
                <w:sz w:val="14"/>
                <w:szCs w:val="14"/>
              </w:rPr>
              <w:t xml:space="preserve">(6)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 managers   ·   Daily   ·   Levant manager   ·   Monthly   ·   Customer</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Each follows directly from a measure that was missed, each has an owner who can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it, and together they form one chain of the strategy map rather than four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targets.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influence   ·   directly   ·   unrelated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9–10</w:t>
      </w:r>
    </w:p>
    <w:p>
      <w:pPr>
        <w:spacing w:before="20" w:after="20" w:line="360" w:lineRule="auto"/>
        <w:ind w:left="200"/>
      </w:pPr>
      <w:r>
        <w:rPr>
          <w:sz w:val="19"/>
          <w:szCs w:val="19"/>
        </w:rPr>
        <w:t xml:space="preserve">Residual income on the scorecard, $2,260,000, is the sum of the three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Company return on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12.6% beats the 11.8% objective set.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divisions   ·   results   ·   investment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11–13</w:t>
      </w:r>
    </w:p>
    <w:p>
      <w:pPr>
        <w:spacing w:before="20" w:after="20" w:line="360" w:lineRule="auto"/>
        <w:ind w:left="200"/>
      </w:pPr>
      <w:r>
        <w:rPr>
          <w:sz w:val="19"/>
          <w:szCs w:val="19"/>
        </w:rPr>
        <w:t xml:space="preserve">Expect a list of measures to sort into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 scorecard to read, or a goal for which you must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 measure, an interval and an owner. </w:t>
      </w:r>
      <w:r>
        <w:rPr>
          <w:sz w:val="19"/>
          <w:szCs w:val="19"/>
        </w:rPr>
        <w:t xml:space="preserve">Say what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of results means, not just how many were met.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investment   ·   pattern   ·   recommend   ·   perspectives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Tahini &amp; Spreads, one quarter</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Target</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Actual</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400"/>
            <w:tcMar>
              <w:top w:type="dxa" w:w="50"/>
              <w:left w:type="dxa" w:w="110"/>
              <w:bottom w:type="dxa" w:w="50"/>
              <w:right w:type="dxa" w:w="110"/>
            </w:tcMar>
          </w:tcPr>
          <w:p>
            <w:pPr>
              <w:spacing w:before="28" w:after="28"/>
            </w:pPr>
            <w:r>
              <w:rPr>
                <w:sz w:val="15"/>
                <w:szCs w:val="15"/>
              </w:rPr>
              <w:t xml:space="preserve">840,000</w:t>
            </w:r>
          </w:p>
        </w:tc>
        <w:tc>
          <w:tcPr>
            <w:tcW w:type="pct" w:w="1400"/>
            <w:tcMar>
              <w:top w:type="dxa" w:w="50"/>
              <w:left w:type="dxa" w:w="110"/>
              <w:bottom w:type="dxa" w:w="50"/>
              <w:right w:type="dxa" w:w="110"/>
            </w:tcMar>
          </w:tcPr>
          <w:p>
            <w:pPr>
              <w:spacing w:before="28" w:after="28"/>
            </w:pPr>
            <w:r>
              <w:rPr>
                <w:sz w:val="15"/>
                <w:szCs w:val="15"/>
              </w:rPr>
              <w:t xml:space="preserve">812,000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400"/>
            <w:shd w:fill="FBFAF6" w:val="clear"/>
            <w:tcMar>
              <w:top w:type="dxa" w:w="50"/>
              <w:left w:type="dxa" w:w="110"/>
              <w:bottom w:type="dxa" w:w="50"/>
              <w:right w:type="dxa" w:w="110"/>
            </w:tcMar>
          </w:tcPr>
          <w:p>
            <w:pPr>
              <w:spacing w:before="28" w:after="28"/>
            </w:pPr>
            <w:r>
              <w:rPr>
                <w:sz w:val="15"/>
                <w:szCs w:val="15"/>
              </w:rPr>
              <w:t xml:space="preserve">95%</w:t>
            </w:r>
          </w:p>
        </w:tc>
        <w:tc>
          <w:tcPr>
            <w:tcW w:type="pct" w:w="1400"/>
            <w:shd w:fill="FBFAF6" w:val="clear"/>
            <w:tcMar>
              <w:top w:type="dxa" w:w="50"/>
              <w:left w:type="dxa" w:w="110"/>
              <w:bottom w:type="dxa" w:w="50"/>
              <w:right w:type="dxa" w:w="110"/>
            </w:tcMar>
          </w:tcPr>
          <w:p>
            <w:pPr>
              <w:spacing w:before="28" w:after="28"/>
            </w:pPr>
            <w:r>
              <w:rPr>
                <w:sz w:val="15"/>
                <w:szCs w:val="15"/>
              </w:rPr>
              <w:t xml:space="preserve">97%</w:t>
            </w:r>
          </w:p>
        </w:tc>
      </w:tr>
      <w:tr>
        <w:tc>
          <w:tcPr>
            <w:tcW w:type="pct" w:w="2200"/>
            <w:tcMar>
              <w:top w:type="dxa" w:w="50"/>
              <w:left w:type="dxa" w:w="110"/>
              <w:bottom w:type="dxa" w:w="50"/>
              <w:right w:type="dxa" w:w="110"/>
            </w:tcMar>
          </w:tcPr>
          <w:p>
            <w:pPr>
              <w:spacing w:before="28" w:after="28"/>
            </w:pPr>
            <w:r>
              <w:rPr>
                <w:sz w:val="15"/>
                <w:szCs w:val="15"/>
              </w:rPr>
              <w:t xml:space="preserve">Sesame yield (kg of paste a kg of seed)</w:t>
            </w:r>
          </w:p>
        </w:tc>
        <w:tc>
          <w:tcPr>
            <w:tcW w:type="pct" w:w="1400"/>
            <w:tcMar>
              <w:top w:type="dxa" w:w="50"/>
              <w:left w:type="dxa" w:w="110"/>
              <w:bottom w:type="dxa" w:w="50"/>
              <w:right w:type="dxa" w:w="110"/>
            </w:tcMar>
          </w:tcPr>
          <w:p>
            <w:pPr>
              <w:spacing w:before="28" w:after="28"/>
            </w:pPr>
            <w:r>
              <w:rPr>
                <w:sz w:val="15"/>
                <w:szCs w:val="15"/>
              </w:rPr>
              <w:t xml:space="preserve">0.62</w:t>
            </w:r>
          </w:p>
        </w:tc>
        <w:tc>
          <w:tcPr>
            <w:tcW w:type="pct" w:w="1400"/>
            <w:tcMar>
              <w:top w:type="dxa" w:w="50"/>
              <w:left w:type="dxa" w:w="110"/>
              <w:bottom w:type="dxa" w:w="50"/>
              <w:right w:type="dxa" w:w="110"/>
            </w:tcMar>
          </w:tcPr>
          <w:p>
            <w:pPr>
              <w:spacing w:before="28" w:after="28"/>
            </w:pPr>
            <w:r>
              <w:rPr>
                <w:sz w:val="15"/>
                <w:szCs w:val="15"/>
              </w:rPr>
              <w:t xml:space="preserve">0.59</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400"/>
            <w:shd w:fill="FBFAF6" w:val="clear"/>
            <w:tcMar>
              <w:top w:type="dxa" w:w="50"/>
              <w:left w:type="dxa" w:w="110"/>
              <w:bottom w:type="dxa" w:w="50"/>
              <w:right w:type="dxa" w:w="110"/>
            </w:tcMar>
          </w:tcPr>
          <w:p>
            <w:pPr>
              <w:spacing w:before="28" w:after="28"/>
            </w:pPr>
            <w:r>
              <w:rPr>
                <w:sz w:val="15"/>
                <w:szCs w:val="15"/>
              </w:rPr>
              <w:t xml:space="preserve">12</w:t>
            </w:r>
          </w:p>
        </w:tc>
        <w:tc>
          <w:tcPr>
            <w:tcW w:type="pct" w:w="1400"/>
            <w:shd w:fill="FBFAF6" w:val="clear"/>
            <w:tcMar>
              <w:top w:type="dxa" w:w="50"/>
              <w:left w:type="dxa" w:w="110"/>
              <w:bottom w:type="dxa" w:w="50"/>
              <w:right w:type="dxa" w:w="110"/>
            </w:tcMar>
          </w:tcPr>
          <w:p>
            <w:pPr>
              <w:spacing w:before="28" w:after="28"/>
            </w:pPr>
            <w:r>
              <w:rPr>
                <w:sz w:val="15"/>
                <w:szCs w:val="15"/>
              </w:rPr>
              <w:t xml:space="preserve">12</w:t>
            </w:r>
          </w:p>
        </w:tc>
      </w:tr>
      <w:tr>
        <w:tc>
          <w:tcPr>
            <w:tcW w:type="pct" w:w="2200"/>
            <w:tcMar>
              <w:top w:type="dxa" w:w="50"/>
              <w:left w:type="dxa" w:w="110"/>
              <w:bottom w:type="dxa" w:w="50"/>
              <w:right w:type="dxa" w:w="110"/>
            </w:tcMar>
          </w:tcPr>
          <w:p>
            <w:pPr>
              <w:spacing w:before="28" w:after="28"/>
            </w:pPr>
            <w:r>
              <w:rPr>
                <w:sz w:val="15"/>
                <w:szCs w:val="15"/>
              </w:rPr>
              <w:t xml:space="preserve">Complaints from supermarkets</w:t>
            </w:r>
          </w:p>
        </w:tc>
        <w:tc>
          <w:tcPr>
            <w:tcW w:type="pct" w:w="1400"/>
            <w:tcMar>
              <w:top w:type="dxa" w:w="50"/>
              <w:left w:type="dxa" w:w="110"/>
              <w:bottom w:type="dxa" w:w="50"/>
              <w:right w:type="dxa" w:w="110"/>
            </w:tcMar>
          </w:tcPr>
          <w:p>
            <w:pPr>
              <w:spacing w:before="28" w:after="28"/>
            </w:pPr>
            <w:r>
              <w:rPr>
                <w:sz w:val="15"/>
                <w:szCs w:val="15"/>
              </w:rPr>
              <w:t xml:space="preserve">5</w:t>
            </w:r>
          </w:p>
        </w:tc>
        <w:tc>
          <w:tcPr>
            <w:tcW w:type="pct" w:w="1400"/>
            <w:tcMar>
              <w:top w:type="dxa" w:w="50"/>
              <w:left w:type="dxa" w:w="110"/>
              <w:bottom w:type="dxa" w:w="50"/>
              <w:right w:type="dxa" w:w="110"/>
            </w:tcMar>
          </w:tcPr>
          <w:p>
            <w:pPr>
              <w:spacing w:before="28" w:after="28"/>
            </w:pPr>
            <w:r>
              <w:rPr>
                <w:sz w:val="15"/>
                <w:szCs w:val="15"/>
              </w:rPr>
              <w:t xml:space="preserve">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Operators trained on the new line   ·   Gulf chain orders delivered in full   ·   Segment margin   ·   Complaints from supermarkets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Internal process</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(17) </w:t>
            </w:r>
            <w:r>
              <w:rPr>
                <w:u w:val="single"/>
                <w:sz w:val="15"/>
                <w:szCs w:val="15"/>
              </w:rPr>
              <w:t xml:space="preserve">              </w:t>
            </w:r>
            <w:r>
              <w:rPr>
                <w:sz w:val="15"/>
                <w:szCs w:val="15"/>
              </w:rPr>
              <w:t xml:space="preserve"> </w:t>
            </w:r>
            <w:r>
              <w:rPr>
                <w:sz w:val="15"/>
                <w:szCs w:val="15"/>
              </w:rPr>
              <w:t xml:space="preserve">: missed; energy 0.47 against 0.48: met; scrap 1.8% against 1.5%: missed</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Learning and growth</w:t>
            </w:r>
          </w:p>
        </w:tc>
        <w:tc>
          <w:tcPr>
            <w:tcW w:type="pct" w:w="2600"/>
            <w:shd w:fill="FBFAF6" w:val="clear"/>
            <w:tcMar>
              <w:top w:type="dxa" w:w="50"/>
              <w:left w:type="dxa" w:w="110"/>
              <w:bottom w:type="dxa" w:w="50"/>
              <w:right w:type="dxa" w:w="110"/>
            </w:tcMar>
          </w:tcPr>
          <w:p>
            <w:pPr>
              <w:spacing w:before="28" w:after="28"/>
            </w:pPr>
            <w:r>
              <w:rPr>
                <w:sz w:val="15"/>
                <w:szCs w:val="15"/>
              </w:rPr>
              <w:t xml:space="preserve">Training 15.2 against 14.4: met; new products 5.1% against 7.8%: missed; turnover 7% against 8%: met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Changeover time 42 against 30   ·   Tahini &amp; Spreads, one quarter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Measure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Measure</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Segment margin</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Gulf chain orders delivered in full</w:t>
            </w:r>
          </w:p>
        </w:tc>
        <w:tc>
          <w:tcPr>
            <w:tcW w:type="pct" w:w="2400"/>
            <w:shd w:fill="FBFAF6" w:val="clear"/>
            <w:tcMar>
              <w:top w:type="dxa" w:w="50"/>
              <w:left w:type="dxa" w:w="110"/>
              <w:bottom w:type="dxa" w:w="50"/>
              <w:right w:type="dxa" w:w="110"/>
            </w:tcMar>
          </w:tcPr>
          <w:p>
            <w:pPr>
              <w:spacing w:before="28" w:after="28"/>
            </w:pPr>
            <w:r>
              <w:rPr>
                <w:sz w:val="15"/>
                <w:szCs w:val="15"/>
              </w:rPr>
              <w:t xml:space="preserve">Customer</w:t>
            </w:r>
          </w:p>
        </w:tc>
      </w:tr>
      <w:tr>
        <w:tc>
          <w:tcPr>
            <w:tcW w:type="pct" w:w="2600"/>
            <w:tcMar>
              <w:top w:type="dxa" w:w="50"/>
              <w:left w:type="dxa" w:w="110"/>
              <w:bottom w:type="dxa" w:w="50"/>
              <w:right w:type="dxa" w:w="110"/>
            </w:tcMar>
          </w:tcPr>
          <w:p>
            <w:pPr>
              <w:spacing w:before="28" w:after="28"/>
            </w:pPr>
            <w:r>
              <w:rPr>
                <w:sz w:val="15"/>
                <w:szCs w:val="15"/>
              </w:rPr>
              <w:t xml:space="preserve">Sesame yield a kilogram of seed</w:t>
            </w:r>
          </w:p>
        </w:tc>
        <w:tc>
          <w:tcPr>
            <w:tcW w:type="pct" w:w="2400"/>
            <w:tcMar>
              <w:top w:type="dxa" w:w="50"/>
              <w:left w:type="dxa" w:w="110"/>
              <w:bottom w:type="dxa" w:w="50"/>
              <w:right w:type="dxa" w:w="110"/>
            </w:tcMar>
          </w:tcPr>
          <w:p>
            <w:pPr>
              <w:spacing w:before="28" w:after="28"/>
            </w:pPr>
            <w:r>
              <w:rPr>
                <w:sz w:val="15"/>
                <w:szCs w:val="15"/>
              </w:rPr>
              <w:t xml:space="preserve">Internal process</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Operators trained on the new line</w:t>
            </w:r>
          </w:p>
        </w:tc>
        <w:tc>
          <w:tcPr>
            <w:tcW w:type="pct" w:w="2400"/>
            <w:shd w:fill="FBFAF6" w:val="clear"/>
            <w:tcMar>
              <w:top w:type="dxa" w:w="50"/>
              <w:left w:type="dxa" w:w="110"/>
              <w:bottom w:type="dxa" w:w="50"/>
              <w:right w:type="dxa" w:w="110"/>
            </w:tcMar>
          </w:tcPr>
          <w:p>
            <w:pPr>
              <w:spacing w:before="28" w:after="28"/>
            </w:pPr>
            <w:r>
              <w:rPr>
                <w:sz w:val="15"/>
                <w:szCs w:val="15"/>
              </w:rPr>
              <w:t xml:space="preserve">Learning and growth</w:t>
            </w:r>
          </w:p>
        </w:tc>
      </w:tr>
      <w:tr>
        <w:tc>
          <w:tcPr>
            <w:tcW w:type="pct" w:w="2600"/>
            <w:tcMar>
              <w:top w:type="dxa" w:w="50"/>
              <w:left w:type="dxa" w:w="110"/>
              <w:bottom w:type="dxa" w:w="50"/>
              <w:right w:type="dxa" w:w="110"/>
            </w:tcMar>
          </w:tcPr>
          <w:p>
            <w:pPr>
              <w:spacing w:before="28" w:after="28"/>
            </w:pPr>
            <w:r>
              <w:rPr>
                <w:sz w:val="15"/>
                <w:szCs w:val="15"/>
              </w:rPr>
              <w:t xml:space="preserve">Complaints from supermarkets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   Customer   ·   Actual</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balanced scorecard   ·   strategy map   ·   critical success factor (CSF)</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critical success factor (CSF)</w:t>
            </w:r>
          </w:p>
        </w:tc>
        <w:tc>
          <w:tcPr>
            <w:tcW w:type="pct" w:w="2400"/>
            <w:tcMar>
              <w:top w:type="dxa" w:w="50"/>
              <w:left w:type="dxa" w:w="110"/>
              <w:bottom w:type="dxa" w:w="50"/>
              <w:right w:type="dxa" w:w="110"/>
            </w:tcMar>
          </w:tcPr>
          <w:p>
            <w:pPr>
              <w:spacing w:before="26" w:after="26"/>
            </w:pPr>
            <w:r>
              <w:rPr>
                <w:color w:val="232733"/>
                <w:sz w:val="16"/>
                <w:szCs w:val="16"/>
              </w:rPr>
              <w:t xml:space="preserve">عامل النجاح الحاسم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balanced scorecard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بطاقة الأداء المتوازن</w:t>
            </w:r>
          </w:p>
        </w:tc>
      </w:tr>
      <w:tr>
        <w:tc>
          <w:tcPr>
            <w:tcW w:type="pct" w:w="2600"/>
            <w:tcMar>
              <w:top w:type="dxa" w:w="50"/>
              <w:left w:type="dxa" w:w="110"/>
              <w:bottom w:type="dxa" w:w="50"/>
              <w:right w:type="dxa" w:w="110"/>
            </w:tcMar>
          </w:tcPr>
          <w:p>
            <w:pPr>
              <w:spacing w:before="26" w:after="26"/>
            </w:pPr>
            <w:r>
              <w:rPr>
                <w:color w:val="232733"/>
                <w:sz w:val="16"/>
                <w:szCs w:val="16"/>
              </w:rPr>
              <w:t xml:space="preserve">strategy map</w:t>
            </w:r>
          </w:p>
        </w:tc>
        <w:tc>
          <w:tcPr>
            <w:tcW w:type="pct" w:w="2400"/>
            <w:tcMar>
              <w:top w:type="dxa" w:w="50"/>
              <w:left w:type="dxa" w:w="110"/>
              <w:bottom w:type="dxa" w:w="50"/>
              <w:right w:type="dxa" w:w="110"/>
            </w:tcMar>
          </w:tcPr>
          <w:p>
            <w:pPr>
              <w:spacing w:before="26" w:after="26"/>
            </w:pPr>
            <w:r>
              <w:rPr>
                <w:color w:val="232733"/>
                <w:sz w:val="16"/>
                <w:szCs w:val="16"/>
              </w:rPr>
              <w:t xml:space="preserve">خريطة الاستراتيجية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18.6  Extended Example 18A: recommending measures for next year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recommend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builds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pattern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Daily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Segment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Levant manager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Gulf chain orders delivered in full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Monthly</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Operators trained on the new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Division managers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Changeover time 42 against 30</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influence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Financial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unrelated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Customer</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divisions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critical success factor (CSF)</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balanced scorecard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perspectives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board asks for a short list of measures to put right what 2028 missed, for use in 2029. This example builds it.</w:t>
      </w:r>
    </w:p>
    <w:p>
      <w:pPr>
        <w:spacing w:before="20" w:after="20"/>
        <w:ind w:left="240" w:hanging="240"/>
      </w:pPr>
      <w:r>
        <w:rPr>
          <w:b/>
          <w:bCs/>
          <w:color w:val="353A7C"/>
          <w:sz w:val="15"/>
          <w:szCs w:val="15"/>
        </w:rPr>
        <w:t xml:space="preserve">Summary 2   </w:t>
      </w:r>
      <w:r>
        <w:rPr>
          <w:color w:val="6B7280"/>
          <w:sz w:val="15"/>
          <w:szCs w:val="15"/>
        </w:rPr>
        <w:t xml:space="preserve">Each follows directly from a measure that was missed, each has an owner who can influence it, and together they form one chain of the strategy map rather than four unrelated targets.</w:t>
      </w:r>
    </w:p>
    <w:p>
      <w:pPr>
        <w:spacing w:before="20" w:after="20"/>
        <w:ind w:left="240" w:hanging="240"/>
      </w:pPr>
      <w:r>
        <w:rPr>
          <w:b/>
          <w:bCs/>
          <w:color w:val="353A7C"/>
          <w:sz w:val="15"/>
          <w:szCs w:val="15"/>
        </w:rPr>
        <w:t xml:space="preserve">Summary 3   </w:t>
      </w:r>
      <w:r>
        <w:rPr>
          <w:color w:val="6B7280"/>
          <w:sz w:val="15"/>
          <w:szCs w:val="15"/>
        </w:rPr>
        <w:t xml:space="preserve">Residual income on the scorecard, $2,260,000, is the sum of the three divisions. Company return on investment 12.6% beats the 11.8% objective set.</w:t>
      </w:r>
    </w:p>
    <w:p>
      <w:pPr>
        <w:spacing w:before="20" w:after="20"/>
        <w:ind w:left="240" w:hanging="240"/>
      </w:pPr>
      <w:r>
        <w:rPr>
          <w:b/>
          <w:bCs/>
          <w:color w:val="353A7C"/>
          <w:sz w:val="15"/>
          <w:szCs w:val="15"/>
        </w:rPr>
        <w:t xml:space="preserve">Summary 4   </w:t>
      </w:r>
      <w:r>
        <w:rPr>
          <w:color w:val="6B7280"/>
          <w:sz w:val="15"/>
          <w:szCs w:val="15"/>
        </w:rPr>
        <w:t xml:space="preserve">Expect a list of measures to sort into perspectives, a scorecard to read, or a goal for which you must recommend a measure, an interval and an owner. Say what the pattern of results means, not just how many were met.</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18.1 · Critical success factors and KPIs</w:t>
          </w:r>
        </w:p>
      </w:tc>
      <w:tc>
        <w:tcPr>
          <w:tcW w:type="pct" w:w="1400"/>
          <w:tcMar>
            <w:top w:type="dxa" w:w="-30"/>
            <w:left w:type="dxa" w:w="30"/>
            <w:bottom w:type="dxa" w:w="-30"/>
            <w:right w:type="dxa" w:w="30"/>
          </w:tcMar>
        </w:tcPr>
        <w:p>
          <w:pPr>
            <w:jc w:val="right"/>
          </w:pPr>
          <w:r>
            <w:rPr>
              <w:color w:val="6B7280"/>
              <w:sz w:val="16"/>
              <w:szCs w:val="16"/>
            </w:rPr>
            <w:t xml:space="preserve">Handout 18.1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18.2 · The balanced scorecard and its four perspectives</w:t>
          </w:r>
        </w:p>
      </w:tc>
      <w:tc>
        <w:tcPr>
          <w:tcW w:type="pct" w:w="1400"/>
          <w:tcMar>
            <w:top w:type="dxa" w:w="-30"/>
            <w:left w:type="dxa" w:w="30"/>
            <w:bottom w:type="dxa" w:w="-30"/>
            <w:right w:type="dxa" w:w="30"/>
          </w:tcMar>
        </w:tcPr>
        <w:p>
          <w:pPr>
            <w:jc w:val="right"/>
          </w:pPr>
          <w:r>
            <w:rPr>
              <w:color w:val="6B7280"/>
              <w:sz w:val="16"/>
              <w:szCs w:val="16"/>
            </w:rPr>
            <w:t xml:space="preserve">Handout 18.2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18.3 · What makes a scorecard effective</w:t>
          </w:r>
        </w:p>
      </w:tc>
      <w:tc>
        <w:tcPr>
          <w:tcW w:type="pct" w:w="1400"/>
          <w:tcMar>
            <w:top w:type="dxa" w:w="-30"/>
            <w:left w:type="dxa" w:w="30"/>
            <w:bottom w:type="dxa" w:w="-30"/>
            <w:right w:type="dxa" w:w="30"/>
          </w:tcMar>
        </w:tcPr>
        <w:p>
          <w:pPr>
            <w:jc w:val="right"/>
          </w:pPr>
          <w:r>
            <w:rPr>
              <w:color w:val="6B7280"/>
              <w:sz w:val="16"/>
              <w:szCs w:val="16"/>
            </w:rPr>
            <w:t xml:space="preserve">Handout 18.3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18.4 · The strategy map</w:t>
          </w:r>
        </w:p>
      </w:tc>
      <w:tc>
        <w:tcPr>
          <w:tcW w:type="pct" w:w="1400"/>
          <w:tcMar>
            <w:top w:type="dxa" w:w="-30"/>
            <w:left w:type="dxa" w:w="30"/>
            <w:bottom w:type="dxa" w:w="-30"/>
            <w:right w:type="dxa" w:w="30"/>
          </w:tcMar>
        </w:tcPr>
        <w:p>
          <w:pPr>
            <w:jc w:val="right"/>
          </w:pPr>
          <w:r>
            <w:rPr>
              <w:color w:val="6B7280"/>
              <w:sz w:val="16"/>
              <w:szCs w:val="16"/>
            </w:rPr>
            <w:t xml:space="preserve">Handout 18.4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18.5 · Reading a scorecard and reporting it</w:t>
          </w:r>
        </w:p>
      </w:tc>
      <w:tc>
        <w:tcPr>
          <w:tcW w:type="pct" w:w="1400"/>
          <w:tcMar>
            <w:top w:type="dxa" w:w="-30"/>
            <w:left w:type="dxa" w:w="30"/>
            <w:bottom w:type="dxa" w:w="-30"/>
            <w:right w:type="dxa" w:w="30"/>
          </w:tcMar>
        </w:tcPr>
        <w:p>
          <w:pPr>
            <w:jc w:val="right"/>
          </w:pPr>
          <w:r>
            <w:rPr>
              <w:color w:val="6B7280"/>
              <w:sz w:val="16"/>
              <w:szCs w:val="16"/>
            </w:rPr>
            <w:t xml:space="preserve">Handout 18.5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18.6 · Extended Example 18A: recommending measures for next year</w:t>
          </w:r>
        </w:p>
      </w:tc>
      <w:tc>
        <w:tcPr>
          <w:tcW w:type="pct" w:w="1400"/>
          <w:tcMar>
            <w:top w:type="dxa" w:w="-30"/>
            <w:left w:type="dxa" w:w="30"/>
            <w:bottom w:type="dxa" w:w="-30"/>
            <w:right w:type="dxa" w:w="30"/>
          </w:tcMar>
        </w:tcPr>
        <w:p>
          <w:pPr>
            <w:jc w:val="right"/>
          </w:pPr>
          <w:r>
            <w:rPr>
              <w:color w:val="6B7280"/>
              <w:sz w:val="16"/>
              <w:szCs w:val="16"/>
            </w:rPr>
            <w:t xml:space="preserve">Handout 18.6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c834e4f9143a57d88888e45dd3e8dbb850799670.png" Type="http://schemas.openxmlformats.org/officeDocument/2006/relationships/image"/><Relationship Id="rId102" Target="media/96e00d3664fae8c88875f4c06b4e53c934a3bddb.png" Type="http://schemas.openxmlformats.org/officeDocument/2006/relationships/image"/><Relationship Id="rId103" Target="media/e20817d6d4e7f040171690bbc15b73df1e791aaf.png" Type="http://schemas.openxmlformats.org/officeDocument/2006/relationships/image"/><Relationship Id="rId104" Target="media/51ec00d487098446dfaf31073e20290b09213aff.png" Type="http://schemas.openxmlformats.org/officeDocument/2006/relationships/image"/><Relationship Id="rId105" Target="media/028bf5c4f0784e186df2a35bef937673fe76616b.png" Type="http://schemas.openxmlformats.org/officeDocument/2006/relationships/image"/><Relationship Id="rId106" Target="media/fa15fcec1acf2618eeef048f232c5f61b33095f4.png" Type="http://schemas.openxmlformats.org/officeDocument/2006/relationships/image"/><Relationship Id="rId107" Target="media/1609a975a66519bb589899875b0648d02e2126c8.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3 · Chapter 18</dc:title>
  <dc:subject>Summary handouts</dc:subject>
  <cp:category>Student Book</cp:category>
</cp:coreProperties>
</file>