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13.1  What makes data Big</w:t>
            </w:r>
          </w:p>
          <w:p>
            <w:pPr>
              <w:spacing w:before="0" w:after="46"/>
            </w:pPr>
            <w:r>
              <w:rPr>
                <w:color w:val="E8EAF6"/>
                <w:sz w:val="16"/>
                <w:szCs w:val="16"/>
              </w:rPr>
              <w:t xml:space="preserve">Chapter 13 · section 13.1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13,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92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734050" cy="29273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business intelligence (BI)   ·   Structured, semi-structured and unstructured d   ·   Opportunities and challenges   ·   Extended Example 13A: one number becomes a dec</w:t>
            </w:r>
          </w:p>
        </w:tc>
      </w:tr>
    </w:tbl>
    <w:p/>
    <w:p>
      <w:pPr>
        <w:spacing w:before="44" w:after="14"/>
      </w:pPr>
      <w:r>
        <w:rPr>
          <w:b/>
          <w:bCs/>
          <w:color w:val="353A7C"/>
          <w:sz w:val="18"/>
          <w:szCs w:val="18"/>
        </w:rPr>
        <w:t xml:space="preserve">Summary 1</w:t>
      </w:r>
      <w:r>
        <w:rPr>
          <w:color w:val="6B7280"/>
          <w:sz w:val="16"/>
          <w:szCs w:val="16"/>
        </w:rPr>
        <w:t xml:space="preserve">      gaps 4–12</w:t>
      </w:r>
    </w:p>
    <w:p>
      <w:pPr>
        <w:spacing w:before="20" w:after="20" w:line="360" w:lineRule="auto"/>
        <w:ind w:left="200"/>
      </w:pPr>
      <w:r>
        <w:rPr>
          <w:sz w:val="19"/>
          <w:szCs w:val="19"/>
        </w:rPr>
        <w:t xml:space="preserve">Big Data is data whose volume, speed or variety puts it beyond what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tools were built to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w:t>
      </w:r>
      <w:r>
        <w:rPr>
          <w:sz w:val="19"/>
          <w:szCs w:val="19"/>
        </w:rPr>
        <w:t xml:space="preserve">Many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add a fifth V, value, and some add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t>
      </w:r>
      <w:r>
        <w:rPr>
          <w:sz w:val="19"/>
          <w:szCs w:val="19"/>
        </w:rPr>
        <w:t xml:space="preserve">The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outcome names four: volume,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variety and veracity. </w:t>
      </w:r>
      <w:r>
        <w:rPr>
          <w:sz w:val="19"/>
          <w:szCs w:val="19"/>
        </w:rPr>
        <w:t xml:space="preserve">Answer with four unless a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gives you a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list to work. </w:t>
      </w:r>
      <w:r>
        <w:rPr>
          <w:sz w:val="19"/>
          <w:szCs w:val="19"/>
        </w:rPr>
        <w:t xml:space="preserve">Veracity is the one that matters most to an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and the one most often skipped. </w:t>
      </w:r>
      <w:r>
        <w:rPr>
          <w:sz w:val="19"/>
          <w:szCs w:val="19"/>
        </w:rPr>
        <w:t xml:space="preserve">It asks whether the data can be trusted, and: one distributor recorded under three spellings, fourteen orders with no delivery date. </w:t>
      </w:r>
      <w:r>
        <w:rPr>
          <w:sz w:val="19"/>
          <w:szCs w:val="19"/>
        </w:rPr>
        <w:t xml:space="preserve">Volume without veracity produces confident answers that are wrong.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different   ·   accountant   ·   guides   ·   question   ·   velocity   ·   traditional   ·   produces   ·   handle   ·   others   ·   official</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Big Data</w:t>
            </w:r>
          </w:p>
        </w:tc>
        <w:tc>
          <w:tcPr>
            <w:tcW w:type="pct" w:w="2600"/>
            <w:tcMar>
              <w:top w:type="dxa" w:w="50"/>
              <w:left w:type="dxa" w:w="110"/>
              <w:bottom w:type="dxa" w:w="50"/>
              <w:right w:type="dxa" w:w="110"/>
            </w:tcMar>
          </w:tcPr>
          <w:p>
            <w:pPr>
              <w:spacing w:before="26" w:after="26"/>
            </w:pPr>
            <w:r>
              <w:rPr>
                <w:color w:val="232733"/>
                <w:sz w:val="16"/>
                <w:szCs w:val="16"/>
              </w:rPr>
              <w:t xml:space="preserve">البيانات الضخمة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veracity</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الموثوقية</w:t>
            </w:r>
          </w:p>
        </w:tc>
      </w:tr>
    </w:tbl>
    <w:p/>
    <w:p>
      <w:pPr>
        <w:sectPr>
          <w:headerReference w:type="default" r:id="rIdHdr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13.1  What makes data Big</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Structured, semi-structured and unstructured d</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others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Opportunities and challenges</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official</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Extended Example 13A: one number becomes a dec</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velocity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traditional</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question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handle</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different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guides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accountant</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Big Data is data whose volume, speed or variety puts it beyond what traditional tools were built to handle. Many guides add a fifth V, value, and some add others. The official outcome names four: volume, velocity, variety and veracity. Answer with four unless a question gives you a different list to work. Veracity is the one that matters most to an accountant, and the one most often skipped. It asks whether the data can be trusted, and: one distributor recorded under three spellings, fourteen orders with no delivery date. Volume without veracity produces confident answers that are wrong.</w:t>
      </w:r>
    </w:p>
    <w:p>
      <w:pPr>
        <w:sectPr>
          <w:headerReference w:type="default" r:id="rIdHdr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13.2  Structured, semi-structured and unstructured data</w:t>
            </w:r>
          </w:p>
          <w:p>
            <w:pPr>
              <w:spacing w:before="0" w:after="46"/>
            </w:pPr>
            <w:r>
              <w:rPr>
                <w:color w:val="E8EAF6"/>
                <w:sz w:val="16"/>
                <w:szCs w:val="16"/>
              </w:rPr>
              <w:t xml:space="preserve">Chapter 13 · section 13.2</w:t>
            </w:r>
          </w:p>
        </w:tc>
      </w:tr>
    </w:tbl>
    <w:p/>
    <w:p>
      <w:pPr>
        <w:spacing w:before="10" w:after="40"/>
      </w:pPr>
      <w:r>
        <w:rPr>
          <w:color w:val="6B7280"/>
          <w:sz w:val="17"/>
          <w:szCs w:val="17"/>
        </w:rPr>
        <w:t xml:space="preserve">Fill every gap. Each word list holds one word more than there are gaps.</w:t>
      </w:r>
    </w:p>
    <w:p>
      <w:pPr>
        <w:spacing w:before="20" w:after="20" w:line="360" w:lineRule="auto"/>
        <w:ind w:left="200"/>
      </w:pPr>
      <w:r>
        <w:rPr>
          <w:sz w:val="19"/>
          <w:szCs w:val="19"/>
        </w:rPr>
        <w:t xml:space="preserve">Variety is easier to grasp once the three kinds are named.</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091"/>
        <w:gridCol w:w="2069"/>
        <w:gridCol w:w="3914"/>
        <w:gridCol w:w="2526"/>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Structured, semi-structured and unstructured data</w:t>
            </w:r>
          </w:p>
        </w:tc>
      </w:tr>
      <w:tr>
        <w:tc>
          <w:tcPr>
            <w:tcW w:type="pct" w:w="568"/>
            <w:shd w:fill="353A7C" w:val="clear"/>
            <w:tcMar>
              <w:top w:type="dxa" w:w="50"/>
              <w:left w:type="dxa" w:w="110"/>
              <w:bottom w:type="dxa" w:w="50"/>
              <w:right w:type="dxa" w:w="110"/>
            </w:tcMar>
          </w:tcPr>
          <w:p>
            <w:pPr>
              <w:spacing w:before="30" w:after="30"/>
            </w:pPr>
            <w:r>
              <w:rPr>
                <w:b/>
                <w:bCs/>
                <w:color w:val="FFFFFF"/>
                <w:sz w:val="15"/>
                <w:szCs w:val="15"/>
              </w:rPr>
              <w:t xml:space="preserve">Kind of data (F.4.b)</w:t>
            </w:r>
          </w:p>
        </w:tc>
        <w:tc>
          <w:tcPr>
            <w:tcW w:type="pct" w:w="1077"/>
            <w:shd w:fill="353A7C" w:val="clear"/>
            <w:tcMar>
              <w:top w:type="dxa" w:w="50"/>
              <w:left w:type="dxa" w:w="110"/>
              <w:bottom w:type="dxa" w:w="50"/>
              <w:right w:type="dxa" w:w="110"/>
            </w:tcMar>
          </w:tcPr>
          <w:p>
            <w:pPr>
              <w:spacing w:before="30" w:after="30"/>
            </w:pPr>
            <w:r>
              <w:rPr>
                <w:b/>
                <w:bCs/>
                <w:color w:val="FFFFFF"/>
                <w:sz w:val="15"/>
                <w:szCs w:val="15"/>
              </w:rPr>
              <w:t xml:space="preserve">What it means</w:t>
            </w:r>
          </w:p>
        </w:tc>
        <w:tc>
          <w:tcPr>
            <w:tcW w:type="pct" w:w="2039"/>
            <w:shd w:fill="353A7C" w:val="clear"/>
            <w:tcMar>
              <w:top w:type="dxa" w:w="50"/>
              <w:left w:type="dxa" w:w="110"/>
              <w:bottom w:type="dxa" w:w="50"/>
              <w:right w:type="dxa" w:w="110"/>
            </w:tcMar>
          </w:tcPr>
          <w:p>
            <w:pPr>
              <w:spacing w:before="30" w:after="30"/>
            </w:pPr>
            <w:r>
              <w:rPr>
                <w:b/>
                <w:bCs/>
                <w:color w:val="FFFFFF"/>
                <w:sz w:val="15"/>
                <w:szCs w:val="15"/>
              </w:rPr>
              <w:t xml:space="preserve">At Orontes</w:t>
            </w:r>
          </w:p>
        </w:tc>
        <w:tc>
          <w:tcPr>
            <w:tcW w:type="pct" w:w="1316"/>
            <w:shd w:fill="353A7C" w:val="clear"/>
            <w:tcMar>
              <w:top w:type="dxa" w:w="50"/>
              <w:left w:type="dxa" w:w="110"/>
              <w:bottom w:type="dxa" w:w="50"/>
              <w:right w:type="dxa" w:w="110"/>
            </w:tcMar>
          </w:tcPr>
          <w:p>
            <w:pPr>
              <w:spacing w:before="30" w:after="30"/>
            </w:pPr>
            <w:r>
              <w:rPr>
                <w:b/>
                <w:bCs/>
                <w:color w:val="FFFFFF"/>
                <w:sz w:val="15"/>
                <w:szCs w:val="15"/>
              </w:rPr>
              <w:t xml:space="preserve">How it is used</w:t>
            </w:r>
          </w:p>
        </w:tc>
      </w:tr>
      <w:tr>
        <w:tc>
          <w:tcPr>
            <w:tcW w:type="pct" w:w="568"/>
            <w:tcMar>
              <w:top w:type="dxa" w:w="50"/>
              <w:left w:type="dxa" w:w="110"/>
              <w:bottom w:type="dxa" w:w="50"/>
              <w:right w:type="dxa" w:w="110"/>
            </w:tcMar>
          </w:tcPr>
          <w:p>
            <w:pPr>
              <w:spacing w:before="28" w:after="28"/>
            </w:pPr>
            <w:r>
              <w:rPr>
                <w:sz w:val="15"/>
                <w:szCs w:val="15"/>
              </w:rPr>
              <w:t xml:space="preserve">Structured</w:t>
            </w:r>
          </w:p>
        </w:tc>
        <w:tc>
          <w:tcPr>
            <w:tcW w:type="pct" w:w="1077"/>
            <w:shd w:fill="FFFFFF" w:val="clear"/>
            <w:tcMar>
              <w:top w:type="dxa" w:w="50"/>
              <w:left w:type="dxa" w:w="110"/>
              <w:bottom w:type="dxa" w:w="50"/>
              <w:right w:type="dxa" w:w="110"/>
            </w:tcMar>
          </w:tcPr>
          <w:p>
            <w:pPr>
              <w:spacing w:before="46" w:after="46"/>
            </w:pPr>
            <w:r>
              <w:rPr>
                <w:b/>
                <w:bCs/>
                <w:color w:val="8186EF"/>
                <w:sz w:val="14"/>
                <w:szCs w:val="14"/>
              </w:rPr>
              <w:t xml:space="preserve">(1)</w:t>
            </w:r>
          </w:p>
        </w:tc>
        <w:tc>
          <w:tcPr>
            <w:tcW w:type="pct" w:w="2039"/>
            <w:tcMar>
              <w:top w:type="dxa" w:w="50"/>
              <w:left w:type="dxa" w:w="110"/>
              <w:bottom w:type="dxa" w:w="50"/>
              <w:right w:type="dxa" w:w="110"/>
            </w:tcMar>
          </w:tcPr>
          <w:p>
            <w:pPr>
              <w:spacing w:before="28" w:after="28"/>
            </w:pPr>
            <w:r>
              <w:rPr>
                <w:sz w:val="15"/>
                <w:szCs w:val="15"/>
              </w:rPr>
              <w:t xml:space="preserve">The order table of Chapter 10</w:t>
            </w:r>
          </w:p>
        </w:tc>
        <w:tc>
          <w:tcPr>
            <w:tcW w:type="pct" w:w="1316"/>
            <w:tcMar>
              <w:top w:type="dxa" w:w="50"/>
              <w:left w:type="dxa" w:w="110"/>
              <w:bottom w:type="dxa" w:w="50"/>
              <w:right w:type="dxa" w:w="110"/>
            </w:tcMar>
          </w:tcPr>
          <w:p>
            <w:pPr>
              <w:spacing w:before="28" w:after="28"/>
            </w:pPr>
            <w:r>
              <w:rPr>
                <w:sz w:val="15"/>
                <w:szCs w:val="15"/>
              </w:rPr>
              <w:t xml:space="preserve">Queried directly; the easiest to analyse</w:t>
            </w:r>
          </w:p>
        </w:tc>
      </w:tr>
      <w:tr>
        <w:tc>
          <w:tcPr>
            <w:tcW w:type="pct" w:w="568"/>
            <w:shd w:fill="FBFAF6" w:val="clear"/>
            <w:tcMar>
              <w:top w:type="dxa" w:w="50"/>
              <w:left w:type="dxa" w:w="110"/>
              <w:bottom w:type="dxa" w:w="50"/>
              <w:right w:type="dxa" w:w="110"/>
            </w:tcMar>
          </w:tcPr>
          <w:p>
            <w:pPr>
              <w:spacing w:before="28" w:after="28"/>
            </w:pPr>
            <w:r>
              <w:rPr>
                <w:sz w:val="15"/>
                <w:szCs w:val="15"/>
              </w:rPr>
              <w:t xml:space="preserve">Semi-structured</w:t>
            </w:r>
          </w:p>
        </w:tc>
        <w:tc>
          <w:tcPr>
            <w:tcW w:type="pct" w:w="1077"/>
            <w:shd w:fill="FBFAF6" w:val="clear"/>
            <w:tcMar>
              <w:top w:type="dxa" w:w="50"/>
              <w:left w:type="dxa" w:w="110"/>
              <w:bottom w:type="dxa" w:w="50"/>
              <w:right w:type="dxa" w:w="110"/>
            </w:tcMar>
          </w:tcPr>
          <w:p>
            <w:pPr>
              <w:spacing w:before="28" w:after="28"/>
            </w:pPr>
            <w:r>
              <w:rPr>
                <w:sz w:val="15"/>
                <w:szCs w:val="15"/>
              </w:rPr>
              <w:t xml:space="preserve">Carries tags or keys but no rigid table</w:t>
            </w:r>
          </w:p>
        </w:tc>
        <w:tc>
          <w:tcPr>
            <w:tcW w:type="pct" w:w="2039"/>
            <w:shd w:fill="FBFAF6" w:val="clear"/>
            <w:tcMar>
              <w:top w:type="dxa" w:w="50"/>
              <w:left w:type="dxa" w:w="110"/>
              <w:bottom w:type="dxa" w:w="50"/>
              <w:right w:type="dxa" w:w="110"/>
            </w:tcMar>
          </w:tcPr>
          <w:p>
            <w:pPr>
              <w:spacing w:before="28" w:after="28"/>
            </w:pPr>
            <w:r>
              <w:rPr>
                <w:sz w:val="15"/>
                <w:szCs w:val="15"/>
              </w:rPr>
              <w:t xml:space="preserve">A supplier's electronic invoice file</w:t>
            </w:r>
          </w:p>
        </w:tc>
        <w:tc>
          <w:tcPr>
            <w:tcW w:type="pct" w:w="1316"/>
            <w:shd w:fill="FFFFFF" w:val="clear"/>
            <w:tcMar>
              <w:top w:type="dxa" w:w="50"/>
              <w:left w:type="dxa" w:w="110"/>
              <w:bottom w:type="dxa" w:w="50"/>
              <w:right w:type="dxa" w:w="110"/>
            </w:tcMar>
          </w:tcPr>
          <w:p>
            <w:pPr>
              <w:spacing w:before="46" w:after="46"/>
            </w:pPr>
            <w:r>
              <w:rPr>
                <w:b/>
                <w:bCs/>
                <w:color w:val="8186EF"/>
                <w:sz w:val="14"/>
                <w:szCs w:val="14"/>
              </w:rPr>
              <w:t xml:space="preserve">(2)</w:t>
            </w:r>
          </w:p>
        </w:tc>
      </w:tr>
      <w:tr>
        <w:tc>
          <w:tcPr>
            <w:tcW w:type="pct" w:w="568"/>
            <w:tcMar>
              <w:top w:type="dxa" w:w="50"/>
              <w:left w:type="dxa" w:w="110"/>
              <w:bottom w:type="dxa" w:w="50"/>
              <w:right w:type="dxa" w:w="110"/>
            </w:tcMar>
          </w:tcPr>
          <w:p>
            <w:pPr>
              <w:spacing w:before="28" w:after="28"/>
            </w:pPr>
            <w:r>
              <w:rPr>
                <w:sz w:val="15"/>
                <w:szCs w:val="15"/>
              </w:rPr>
              <w:t xml:space="preserve">Unstructured</w:t>
            </w:r>
          </w:p>
        </w:tc>
        <w:tc>
          <w:tcPr>
            <w:tcW w:type="pct" w:w="1077"/>
            <w:shd w:fill="FFFFFF" w:val="clear"/>
            <w:tcMar>
              <w:top w:type="dxa" w:w="50"/>
              <w:left w:type="dxa" w:w="110"/>
              <w:bottom w:type="dxa" w:w="50"/>
              <w:right w:type="dxa" w:w="110"/>
            </w:tcMar>
          </w:tcPr>
          <w:p>
            <w:pPr>
              <w:spacing w:before="46" w:after="46"/>
            </w:pPr>
            <w:r>
              <w:rPr>
                <w:b/>
                <w:bCs/>
                <w:color w:val="8186EF"/>
                <w:sz w:val="14"/>
                <w:szCs w:val="14"/>
              </w:rPr>
              <w:t xml:space="preserve">(3)</w:t>
            </w:r>
          </w:p>
        </w:tc>
        <w:tc>
          <w:tcPr>
            <w:tcW w:type="pct" w:w="2039"/>
            <w:tcMar>
              <w:top w:type="dxa" w:w="50"/>
              <w:left w:type="dxa" w:w="110"/>
              <w:bottom w:type="dxa" w:w="50"/>
              <w:right w:type="dxa" w:w="110"/>
            </w:tcMar>
          </w:tcPr>
          <w:p>
            <w:pPr>
              <w:spacing w:before="28" w:after="28"/>
            </w:pPr>
            <w:r>
              <w:rPr>
                <w:sz w:val="15"/>
                <w:szCs w:val="15"/>
              </w:rPr>
              <w:t xml:space="preserve">Customer emails, photographs of damaged pallets, call recordings</w:t>
            </w:r>
          </w:p>
        </w:tc>
        <w:tc>
          <w:tcPr>
            <w:tcW w:type="pct" w:w="1316"/>
            <w:tcMar>
              <w:top w:type="dxa" w:w="50"/>
              <w:left w:type="dxa" w:w="110"/>
              <w:bottom w:type="dxa" w:w="50"/>
              <w:right w:type="dxa" w:w="110"/>
            </w:tcMar>
          </w:tcPr>
          <w:p>
            <w:pPr>
              <w:spacing w:before="28" w:after="28"/>
            </w:pPr>
            <w:r>
              <w:rPr>
                <w:sz w:val="15"/>
                <w:szCs w:val="15"/>
              </w:rPr>
              <w:t xml:space="preserve">The largest share, and the hardest to use</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Queried directly; the easiest to analyse   ·   No predefined form at all   ·   Readable by machine once the tags are understood   ·   Fits rows and columns with a fixed meaning</w:t>
            </w:r>
          </w:p>
        </w:tc>
      </w:tr>
    </w:tbl>
    <w:p/>
    <w:p>
      <w:pPr>
        <w:spacing w:before="44" w:after="14"/>
      </w:pPr>
      <w:r>
        <w:rPr>
          <w:b/>
          <w:bCs/>
          <w:color w:val="353A7C"/>
          <w:sz w:val="18"/>
          <w:szCs w:val="18"/>
        </w:rPr>
        <w:t xml:space="preserve">Summary 1</w:t>
      </w:r>
      <w:r>
        <w:rPr>
          <w:color w:val="6B7280"/>
          <w:sz w:val="16"/>
          <w:szCs w:val="16"/>
        </w:rPr>
        <w:t xml:space="preserve">      gaps 4–11</w:t>
      </w:r>
    </w:p>
    <w:p>
      <w:pPr>
        <w:spacing w:before="20" w:after="20" w:line="360" w:lineRule="auto"/>
        <w:ind w:left="200"/>
      </w:pPr>
      <w:r>
        <w:rPr>
          <w:sz w:val="19"/>
          <w:szCs w:val="19"/>
        </w:rPr>
        <w:t xml:space="preserve">Structured data is what: rows and columns with a fixed meaning, which a query can read directly. </w:t>
      </w:r>
      <w:r>
        <w:rPr>
          <w:sz w:val="19"/>
          <w:szCs w:val="19"/>
        </w:rPr>
        <w:t xml:space="preserve">It is the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of what a company holds and the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majority of what it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for the simple reason that it is the easiest to use. </w:t>
      </w:r>
      <w:r>
        <w:rPr>
          <w:sz w:val="19"/>
          <w:szCs w:val="19"/>
        </w:rPr>
        <w:t xml:space="preserve">Unstructured data is the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and the larger share: emails, photographs, recordings, free text. </w:t>
      </w:r>
      <w:r>
        <w:rPr>
          <w:sz w:val="19"/>
          <w:szCs w:val="19"/>
        </w:rPr>
        <w:t xml:space="preserve">A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of a damaged pallet contains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no table holds, and extracting it has until recently needed a person. </w:t>
      </w:r>
      <w:r>
        <w:rPr>
          <w:sz w:val="19"/>
          <w:szCs w:val="19"/>
        </w:rPr>
        <w:t xml:space="preserve">That is what has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and it is why variety now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beside volume.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analyses   ·   overwhelming   ·   information   ·   opposite   ·   minority   ·   changed   ·   appears   ·   contains   ·   photograph</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193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19314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Big Data   ·   structured data</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720"/>
        <w:gridCol w:w="4880"/>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58"/>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42"/>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58"/>
            <w:tcMar>
              <w:top w:type="dxa" w:w="50"/>
              <w:left w:type="dxa" w:w="110"/>
              <w:bottom w:type="dxa" w:w="50"/>
              <w:right w:type="dxa" w:w="110"/>
            </w:tcMar>
          </w:tcPr>
          <w:p>
            <w:pPr>
              <w:spacing w:before="26" w:after="26"/>
            </w:pPr>
            <w:r>
              <w:rPr>
                <w:color w:val="232733"/>
                <w:sz w:val="16"/>
                <w:szCs w:val="16"/>
              </w:rPr>
              <w:t xml:space="preserve">structured data</w:t>
            </w:r>
          </w:p>
        </w:tc>
        <w:tc>
          <w:tcPr>
            <w:tcW w:type="pct" w:w="2542"/>
            <w:tcMar>
              <w:top w:type="dxa" w:w="50"/>
              <w:left w:type="dxa" w:w="110"/>
              <w:bottom w:type="dxa" w:w="50"/>
              <w:right w:type="dxa" w:w="110"/>
            </w:tcMar>
          </w:tcPr>
          <w:p>
            <w:pPr>
              <w:spacing w:before="26" w:after="26"/>
            </w:pPr>
            <w:r>
              <w:rPr>
                <w:color w:val="232733"/>
                <w:sz w:val="16"/>
                <w:szCs w:val="16"/>
              </w:rPr>
              <w:t xml:space="preserve">البيانات المهيكلة</w:t>
            </w:r>
          </w:p>
        </w:tc>
      </w:tr>
      <w:tr>
        <w:tc>
          <w:tcPr>
            <w:tcW w:type="pct" w:w="2458"/>
            <w:shd w:fill="FBFAF6" w:val="clear"/>
            <w:tcMar>
              <w:top w:type="dxa" w:w="50"/>
              <w:left w:type="dxa" w:w="110"/>
              <w:bottom w:type="dxa" w:w="50"/>
              <w:right w:type="dxa" w:w="110"/>
            </w:tcMar>
          </w:tcPr>
          <w:p>
            <w:pPr>
              <w:spacing w:before="26" w:after="26"/>
            </w:pPr>
            <w:r>
              <w:rPr>
                <w:color w:val="232733"/>
                <w:sz w:val="16"/>
                <w:szCs w:val="16"/>
              </w:rPr>
              <w:t xml:space="preserve">semi-structured data</w:t>
            </w:r>
          </w:p>
        </w:tc>
        <w:tc>
          <w:tcPr>
            <w:tcW w:type="pct" w:w="2542"/>
            <w:shd w:fill="FBFAF6" w:val="clear"/>
            <w:tcMar>
              <w:top w:type="dxa" w:w="50"/>
              <w:left w:type="dxa" w:w="110"/>
              <w:bottom w:type="dxa" w:w="50"/>
              <w:right w:type="dxa" w:w="110"/>
            </w:tcMar>
          </w:tcPr>
          <w:p>
            <w:pPr>
              <w:spacing w:before="26" w:after="26"/>
            </w:pPr>
            <w:r>
              <w:rPr>
                <w:color w:val="232733"/>
                <w:sz w:val="16"/>
                <w:szCs w:val="16"/>
              </w:rPr>
              <w:t xml:space="preserve">البيانات شبه المهيكلة</w:t>
            </w:r>
          </w:p>
        </w:tc>
      </w:tr>
      <w:tr>
        <w:tc>
          <w:tcPr>
            <w:tcW w:type="pct" w:w="2458"/>
            <w:tcMar>
              <w:top w:type="dxa" w:w="50"/>
              <w:left w:type="dxa" w:w="110"/>
              <w:bottom w:type="dxa" w:w="50"/>
              <w:right w:type="dxa" w:w="110"/>
            </w:tcMar>
          </w:tcPr>
          <w:p>
            <w:pPr>
              <w:spacing w:before="26" w:after="26"/>
            </w:pPr>
            <w:r>
              <w:rPr>
                <w:color w:val="232733"/>
                <w:sz w:val="16"/>
                <w:szCs w:val="16"/>
              </w:rPr>
              <w:t xml:space="preserve">unstructured data</w:t>
            </w:r>
          </w:p>
        </w:tc>
        <w:tc>
          <w:tcPr>
            <w:tcW w:type="pct" w:w="2542"/>
            <w:tcMar>
              <w:top w:type="dxa" w:w="50"/>
              <w:left w:type="dxa" w:w="110"/>
              <w:bottom w:type="dxa" w:w="50"/>
              <w:right w:type="dxa" w:w="110"/>
            </w:tcMar>
          </w:tcPr>
          <w:p>
            <w:pPr>
              <w:spacing w:before="26" w:after="26"/>
            </w:pPr>
            <w:r>
              <w:rPr>
                <w:color w:val="232733"/>
                <w:sz w:val="16"/>
                <w:szCs w:val="16"/>
              </w:rPr>
              <w:t xml:space="preserve">البيانات غير المهيكلة</w:t>
            </w:r>
          </w:p>
        </w:tc>
      </w:tr>
    </w:tbl>
    <w:p/>
    <w:p>
      <w:pPr>
        <w:sectPr>
          <w:headerReference w:type="default" r:id="rIdHdr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13.2  Structured, semi-structured and unstructured data</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Fits rows and columns with a fixed meaning</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opposite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Readable by machine once the tags are understood</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photograph</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No predefined form at all</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information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minority</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changed</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overwhelming</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appears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analyses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structured data</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Structured data is what: rows and columns with a fixed meaning, which a query can read directly. It is the minority of what a company holds and the overwhelming majority of what it analyses, for the simple reason that it is the easiest to use. Unstructured data is the opposite and the larger share: emails, photographs, recordings, free text. A photograph of a damaged pallet contains information no table holds, and extracting it has until recently needed a person. That is what has changed, and it is why variety now appears beside volume.</w:t>
      </w:r>
    </w:p>
    <w:p>
      <w:pPr>
        <w:sectPr>
          <w:headerReference w:type="default" r:id="rIdHdr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13.3  From data to action</w:t>
            </w:r>
          </w:p>
          <w:p>
            <w:pPr>
              <w:spacing w:before="0" w:after="46"/>
            </w:pPr>
            <w:r>
              <w:rPr>
                <w:color w:val="E8EAF6"/>
                <w:sz w:val="16"/>
                <w:szCs w:val="16"/>
              </w:rPr>
              <w:t xml:space="preserve">Chapter 13 · section 13.3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1–8</w:t>
      </w:r>
    </w:p>
    <w:p>
      <w:pPr>
        <w:spacing w:before="20" w:after="20" w:line="360" w:lineRule="auto"/>
        <w:ind w:left="200"/>
      </w:pPr>
      <w:r>
        <w:rPr>
          <w:sz w:val="19"/>
          <w:szCs w:val="19"/>
        </w:rPr>
        <w:t xml:space="preserve">Data by itself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nothing. </w:t>
      </w:r>
      <w:r>
        <w:rPr>
          <w:sz w:val="19"/>
          <w:szCs w:val="19"/>
        </w:rPr>
        <w:t xml:space="preserve">Read it upward and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are clear. </w:t>
      </w:r>
      <w:r>
        <w:rPr>
          <w:sz w:val="19"/>
          <w:szCs w:val="19"/>
        </w:rPr>
        <w:t xml:space="preserve"/>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needs insight into why a pattern holds; insight needs the knowledge that a pattern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knowledge needs enough information to see across cases; and information is a fact placed in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w:t>
      </w:r>
      <w:r>
        <w:rPr>
          <w:sz w:val="19"/>
          <w:szCs w:val="19"/>
        </w:rPr>
        <w:t xml:space="preserve">Each step is worth more than the one below it, and none can be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w:t>
      </w:r>
      <w:r>
        <w:rPr>
          <w:sz w:val="19"/>
          <w:szCs w:val="19"/>
        </w:rPr>
        <w:t xml:space="preserve">The step companies stop at is knowledge. </w:t>
      </w:r>
      <w:r>
        <w:rPr>
          <w:sz w:val="19"/>
          <w:szCs w:val="19"/>
        </w:rPr>
        <w:t xml:space="preserve">Knowing that the third quarter is always the peak is useful, but it does not say whether to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the extra shift to the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or to the weather.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skipped   ·   schedule   ·   context   ·   dependencies   ·   exists   ·   calendar   ·   decides   ·   pattern   ·   Action</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insight</w:t>
            </w:r>
          </w:p>
        </w:tc>
        <w:tc>
          <w:tcPr>
            <w:tcW w:type="pct" w:w="2600"/>
            <w:tcMar>
              <w:top w:type="dxa" w:w="50"/>
              <w:left w:type="dxa" w:w="110"/>
              <w:bottom w:type="dxa" w:w="50"/>
              <w:right w:type="dxa" w:w="110"/>
            </w:tcMar>
          </w:tcPr>
          <w:p>
            <w:pPr>
              <w:spacing w:before="26" w:after="26"/>
            </w:pPr>
            <w:r>
              <w:rPr>
                <w:color w:val="232733"/>
                <w:sz w:val="16"/>
                <w:szCs w:val="16"/>
              </w:rPr>
              <w:t xml:space="preserve">البصيرة التحليلية</w:t>
            </w:r>
          </w:p>
        </w:tc>
      </w:tr>
    </w:tbl>
    <w:p/>
    <w:p>
      <w:pPr>
        <w:sectPr>
          <w:headerReference w:type="default" r:id="rIdHdr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13.3  From data to action</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decides</w:t>
            </w:r>
          </w:p>
        </w:tc>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context</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dependencies</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skipped</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Action</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schedule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exists</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calendar</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Data by itself decides nothing. Read it upward and the dependencies are clear. Action needs insight into why a pattern holds; insight needs the knowledge that a pattern exists; knowledge needs enough information to see across cases; and information is a fact placed in context. Each step is worth more than the one below it, and none can be skipped. The step companies stop at is knowledge. Knowing that the third quarter is always the peak is useful, but it does not say whether to schedule the extra shift to the calendar or to the weather.</w:t>
      </w:r>
    </w:p>
    <w:p>
      <w:pPr>
        <w:sectPr>
          <w:headerReference w:type="default" r:id="rIdHdr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13.4  Opportunities and challenges</w:t>
            </w:r>
          </w:p>
          <w:p>
            <w:pPr>
              <w:spacing w:before="0" w:after="46"/>
            </w:pPr>
            <w:r>
              <w:rPr>
                <w:color w:val="E8EAF6"/>
                <w:sz w:val="16"/>
                <w:szCs w:val="16"/>
              </w:rPr>
              <w:t xml:space="preserve">Chapter 13 · section 13.4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1–8</w:t>
      </w:r>
    </w:p>
    <w:p>
      <w:pPr>
        <w:spacing w:before="20" w:after="20" w:line="360" w:lineRule="auto"/>
        <w:ind w:left="200"/>
      </w:pPr>
      <w:r>
        <w:rPr>
          <w:sz w:val="19"/>
          <w:szCs w:val="19"/>
        </w:rPr>
        <w:t xml:space="preserve">The last row deserves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because it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as data grows. </w:t>
      </w:r>
      <w:r>
        <w:rPr>
          <w:sz w:val="19"/>
          <w:szCs w:val="19"/>
        </w:rPr>
        <w:t xml:space="preserve">With enough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patterns appear by chance alone: two series that happen to move together, with no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between them. </w:t>
      </w:r>
      <w:r>
        <w:rPr>
          <w:sz w:val="19"/>
          <w:szCs w:val="19"/>
        </w:rPr>
        <w:t xml:space="preserve">More data finds more such patterns, not fewer, and only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about what could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cause what separates them from real findings. </w:t>
      </w:r>
      <w:r>
        <w:rPr>
          <w:sz w:val="19"/>
          <w:szCs w:val="19"/>
        </w:rPr>
        <w:t xml:space="preserve">The challenge that defeats most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though, is the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one in the fifth row. </w:t>
      </w:r>
      <w:r>
        <w:rPr>
          <w:sz w:val="19"/>
          <w:szCs w:val="19"/>
        </w:rPr>
        <w:t xml:space="preserve">An insight that reaches nobody with the authority to act changes nothing, and the cost of producing it has been spent.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variables   ·   judgement   ·   attention   ·   projects   ·   worsens   ·   plausibly   ·   ordinary   ·   connection   ·   producing</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642"/>
        <w:gridCol w:w="3861"/>
        <w:gridCol w:w="4097"/>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Opportunities and their matching challenges</w:t>
            </w:r>
          </w:p>
        </w:tc>
      </w:tr>
      <w:tr>
        <w:tc>
          <w:tcPr>
            <w:tcW w:type="pct" w:w="855"/>
            <w:shd w:fill="353A7C" w:val="clear"/>
            <w:tcMar>
              <w:top w:type="dxa" w:w="50"/>
              <w:left w:type="dxa" w:w="110"/>
              <w:bottom w:type="dxa" w:w="50"/>
              <w:right w:type="dxa" w:w="110"/>
            </w:tcMar>
          </w:tcPr>
          <w:p>
            <w:pPr>
              <w:spacing w:before="30" w:after="30"/>
            </w:pPr>
            <w:r>
              <w:rPr>
                <w:b/>
                <w:bCs/>
                <w:color w:val="FFFFFF"/>
                <w:sz w:val="15"/>
                <w:szCs w:val="15"/>
              </w:rPr>
              <w:t xml:space="preserve"/>
            </w:r>
          </w:p>
        </w:tc>
        <w:tc>
          <w:tcPr>
            <w:tcW w:type="pct" w:w="2011"/>
            <w:shd w:fill="353A7C" w:val="clear"/>
            <w:tcMar>
              <w:top w:type="dxa" w:w="50"/>
              <w:left w:type="dxa" w:w="110"/>
              <w:bottom w:type="dxa" w:w="50"/>
              <w:right w:type="dxa" w:w="110"/>
            </w:tcMar>
          </w:tcPr>
          <w:p>
            <w:pPr>
              <w:spacing w:before="30" w:after="30"/>
            </w:pPr>
            <w:r>
              <w:rPr>
                <w:b/>
                <w:bCs/>
                <w:color w:val="FFFFFF"/>
                <w:sz w:val="15"/>
                <w:szCs w:val="15"/>
              </w:rPr>
              <w:t xml:space="preserve">Opportunity (F.4.a, F.4.d)</w:t>
            </w:r>
          </w:p>
        </w:tc>
        <w:tc>
          <w:tcPr>
            <w:tcW w:type="pct" w:w="2134"/>
            <w:shd w:fill="353A7C" w:val="clear"/>
            <w:tcMar>
              <w:top w:type="dxa" w:w="50"/>
              <w:left w:type="dxa" w:w="110"/>
              <w:bottom w:type="dxa" w:w="50"/>
              <w:right w:type="dxa" w:w="110"/>
            </w:tcMar>
          </w:tcPr>
          <w:p>
            <w:pPr>
              <w:spacing w:before="30" w:after="30"/>
            </w:pPr>
            <w:r>
              <w:rPr>
                <w:b/>
                <w:bCs/>
                <w:color w:val="FFFFFF"/>
                <w:sz w:val="15"/>
                <w:szCs w:val="15"/>
              </w:rPr>
              <w:t xml:space="preserve">Matching challenge</w:t>
            </w:r>
          </w:p>
        </w:tc>
      </w:tr>
      <w:tr>
        <w:tc>
          <w:tcPr>
            <w:tcW w:type="pct" w:w="855"/>
            <w:tcMar>
              <w:top w:type="dxa" w:w="50"/>
              <w:left w:type="dxa" w:w="110"/>
              <w:bottom w:type="dxa" w:w="50"/>
              <w:right w:type="dxa" w:w="110"/>
            </w:tcMar>
          </w:tcPr>
          <w:p>
            <w:pPr>
              <w:spacing w:before="28" w:after="28"/>
            </w:pPr>
            <w:r>
              <w:rPr>
                <w:sz w:val="15"/>
                <w:szCs w:val="15"/>
              </w:rPr>
              <w:t xml:space="preserve">Better decisions</w:t>
            </w:r>
          </w:p>
        </w:tc>
        <w:tc>
          <w:tcPr>
            <w:tcW w:type="pct" w:w="2011"/>
            <w:tcMar>
              <w:top w:type="dxa" w:w="50"/>
              <w:left w:type="dxa" w:w="110"/>
              <w:bottom w:type="dxa" w:w="50"/>
              <w:right w:type="dxa" w:w="110"/>
            </w:tcMar>
          </w:tcPr>
          <w:p>
            <w:pPr>
              <w:spacing w:before="28" w:after="28"/>
            </w:pPr>
            <w:r>
              <w:rPr>
                <w:sz w:val="15"/>
                <w:szCs w:val="15"/>
              </w:rPr>
              <w:t xml:space="preserve">Patterns too large or too fast for a person to see</w:t>
            </w:r>
          </w:p>
        </w:tc>
        <w:tc>
          <w:tcPr>
            <w:tcW w:type="pct" w:w="2134"/>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(9) </w:t>
            </w:r>
            <w:r>
              <w:rPr>
                <w:u w:val="single"/>
                <w:sz w:val="15"/>
                <w:szCs w:val="15"/>
              </w:rPr>
              <w:t xml:space="preserve">              </w:t>
            </w:r>
            <w:r>
              <w:rPr>
                <w:sz w:val="15"/>
                <w:szCs w:val="15"/>
              </w:rPr>
              <w:t xml:space="preserve"> </w:t>
            </w:r>
            <w:r>
              <w:rPr>
                <w:sz w:val="15"/>
                <w:szCs w:val="15"/>
              </w:rPr>
              <w:t xml:space="preserve">: an answer from poor data is still poor</w:t>
            </w:r>
          </w:p>
        </w:tc>
      </w:tr>
      <w:tr>
        <w:tc>
          <w:tcPr>
            <w:tcW w:type="pct" w:w="855"/>
            <w:shd w:fill="FBFAF6" w:val="clear"/>
            <w:tcMar>
              <w:top w:type="dxa" w:w="50"/>
              <w:left w:type="dxa" w:w="110"/>
              <w:bottom w:type="dxa" w:w="50"/>
              <w:right w:type="dxa" w:w="110"/>
            </w:tcMar>
          </w:tcPr>
          <w:p>
            <w:pPr>
              <w:spacing w:before="28" w:after="28"/>
            </w:pPr>
            <w:r>
              <w:rPr>
                <w:sz w:val="15"/>
                <w:szCs w:val="15"/>
              </w:rPr>
              <w:t xml:space="preserve">Speed</w:t>
            </w:r>
          </w:p>
        </w:tc>
        <w:tc>
          <w:tcPr>
            <w:tcW w:type="pct" w:w="2011"/>
            <w:shd w:fill="FBFAF6" w:val="clear"/>
            <w:tcMar>
              <w:top w:type="dxa" w:w="50"/>
              <w:left w:type="dxa" w:w="110"/>
              <w:bottom w:type="dxa" w:w="50"/>
              <w:right w:type="dxa" w:w="110"/>
            </w:tcMar>
          </w:tcPr>
          <w:p>
            <w:pPr>
              <w:spacing w:before="28" w:after="28"/>
            </w:pPr>
            <w:r>
              <w:rPr>
                <w:sz w:val="15"/>
                <w:szCs w:val="15"/>
              </w:rPr>
              <w:t xml:space="preserve">Answers while there is still time to act</w:t>
            </w:r>
          </w:p>
        </w:tc>
        <w:tc>
          <w:tcPr>
            <w:tcW w:type="pct" w:w="2134"/>
            <w:shd w:fill="FBFAF6" w:val="clear"/>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(10) </w:t>
            </w:r>
            <w:r>
              <w:rPr>
                <w:u w:val="single"/>
                <w:sz w:val="15"/>
                <w:szCs w:val="15"/>
              </w:rPr>
              <w:t xml:space="preserve">              </w:t>
            </w:r>
            <w:r>
              <w:rPr>
                <w:sz w:val="15"/>
                <w:szCs w:val="15"/>
              </w:rPr>
              <w:t xml:space="preserve"> </w:t>
            </w:r>
            <w:r>
              <w:rPr>
                <w:sz w:val="15"/>
                <w:szCs w:val="15"/>
              </w:rPr>
              <w:t xml:space="preserve">: the people who can do this are scarce and expensive</w:t>
            </w:r>
          </w:p>
        </w:tc>
      </w:tr>
      <w:tr>
        <w:tc>
          <w:tcPr>
            <w:tcW w:type="pct" w:w="855"/>
            <w:tcMar>
              <w:top w:type="dxa" w:w="50"/>
              <w:left w:type="dxa" w:w="110"/>
              <w:bottom w:type="dxa" w:w="50"/>
              <w:right w:type="dxa" w:w="110"/>
            </w:tcMar>
          </w:tcPr>
          <w:p>
            <w:pPr>
              <w:spacing w:before="28" w:after="28"/>
            </w:pPr>
            <w:r>
              <w:rPr>
                <w:sz w:val="15"/>
                <w:szCs w:val="15"/>
              </w:rPr>
              <w:t xml:space="preserve">New questions</w:t>
            </w:r>
          </w:p>
        </w:tc>
        <w:tc>
          <w:tcPr>
            <w:tcW w:type="pct" w:w="2011"/>
            <w:tcMar>
              <w:top w:type="dxa" w:w="50"/>
              <w:left w:type="dxa" w:w="110"/>
              <w:bottom w:type="dxa" w:w="50"/>
              <w:right w:type="dxa" w:w="110"/>
            </w:tcMar>
          </w:tcPr>
          <w:p>
            <w:pPr>
              <w:spacing w:before="28" w:after="28"/>
            </w:pPr>
            <w:r>
              <w:rPr>
                <w:sz w:val="15"/>
                <w:szCs w:val="15"/>
              </w:rPr>
              <w:t xml:space="preserve">Questions nobody could previously afford to ask</w:t>
            </w:r>
          </w:p>
        </w:tc>
        <w:tc>
          <w:tcPr>
            <w:tcW w:type="pct" w:w="2134"/>
            <w:shd w:fill="FFFFFF" w:val="clear"/>
            <w:tcMar>
              <w:top w:type="dxa" w:w="50"/>
              <w:left w:type="dxa" w:w="110"/>
              <w:bottom w:type="dxa" w:w="50"/>
              <w:right w:type="dxa" w:w="110"/>
            </w:tcMar>
          </w:tcPr>
          <w:p>
            <w:pPr>
              <w:spacing w:before="46" w:after="46"/>
            </w:pPr>
            <w:r>
              <w:rPr>
                <w:b/>
                <w:bCs/>
                <w:color w:val="8186EF"/>
                <w:sz w:val="14"/>
                <w:szCs w:val="14"/>
              </w:rPr>
              <w:t xml:space="preserve">(11)</w:t>
            </w:r>
          </w:p>
        </w:tc>
      </w:tr>
      <w:tr>
        <w:tc>
          <w:tcPr>
            <w:tcW w:type="pct" w:w="855"/>
            <w:shd w:fill="FBFAF6" w:val="clear"/>
            <w:tcMar>
              <w:top w:type="dxa" w:w="50"/>
              <w:left w:type="dxa" w:w="110"/>
              <w:bottom w:type="dxa" w:w="50"/>
              <w:right w:type="dxa" w:w="110"/>
            </w:tcMar>
          </w:tcPr>
          <w:p>
            <w:pPr>
              <w:spacing w:before="28" w:after="28"/>
            </w:pPr>
            <w:r>
              <w:rPr>
                <w:sz w:val="15"/>
                <w:szCs w:val="15"/>
              </w:rPr>
              <w:t xml:space="preserve">Customer understanding</w:t>
            </w:r>
          </w:p>
        </w:tc>
        <w:tc>
          <w:tcPr>
            <w:tcW w:type="pct" w:w="2011"/>
            <w:shd w:fill="FBFAF6" w:val="clear"/>
            <w:tcMar>
              <w:top w:type="dxa" w:w="50"/>
              <w:left w:type="dxa" w:w="110"/>
              <w:bottom w:type="dxa" w:w="50"/>
              <w:right w:type="dxa" w:w="110"/>
            </w:tcMar>
          </w:tcPr>
          <w:p>
            <w:pPr>
              <w:spacing w:before="28" w:after="28"/>
            </w:pPr>
            <w:r>
              <w:rPr>
                <w:sz w:val="15"/>
                <w:szCs w:val="15"/>
              </w:rPr>
              <w:t xml:space="preserve">Behaviour across every channel, not just sales</w:t>
            </w:r>
          </w:p>
        </w:tc>
        <w:tc>
          <w:tcPr>
            <w:tcW w:type="pct" w:w="2134"/>
            <w:shd w:fill="FBFAF6" w:val="clear"/>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(12) </w:t>
            </w:r>
            <w:r>
              <w:rPr>
                <w:u w:val="single"/>
                <w:sz w:val="15"/>
                <w:szCs w:val="15"/>
              </w:rPr>
              <w:t xml:space="preserve">              </w:t>
            </w:r>
            <w:r>
              <w:rPr>
                <w:sz w:val="15"/>
                <w:szCs w:val="15"/>
              </w:rPr>
              <w:t xml:space="preserve"> </w:t>
            </w:r>
            <w:r>
              <w:rPr>
                <w:sz w:val="15"/>
                <w:szCs w:val="15"/>
              </w:rPr>
              <w:t xml:space="preserve">: Chapter 11's obligations still apply</w:t>
            </w:r>
          </w:p>
        </w:tc>
      </w:tr>
      <w:tr>
        <w:tc>
          <w:tcPr>
            <w:tcW w:type="pct" w:w="855"/>
            <w:tcMar>
              <w:top w:type="dxa" w:w="50"/>
              <w:left w:type="dxa" w:w="110"/>
              <w:bottom w:type="dxa" w:w="50"/>
              <w:right w:type="dxa" w:w="110"/>
            </w:tcMar>
          </w:tcPr>
          <w:p>
            <w:pPr>
              <w:spacing w:before="28" w:after="28"/>
            </w:pPr>
            <w:r>
              <w:rPr>
                <w:sz w:val="15"/>
                <w:szCs w:val="15"/>
              </w:rPr>
              <w:t xml:space="preserve">Operational insight</w:t>
            </w:r>
          </w:p>
        </w:tc>
        <w:tc>
          <w:tcPr>
            <w:tcW w:type="pct" w:w="2011"/>
            <w:shd w:fill="FFFFFF" w:val="clear"/>
            <w:tcMar>
              <w:top w:type="dxa" w:w="50"/>
              <w:left w:type="dxa" w:w="110"/>
              <w:bottom w:type="dxa" w:w="50"/>
              <w:right w:type="dxa" w:w="110"/>
            </w:tcMar>
          </w:tcPr>
          <w:p>
            <w:pPr>
              <w:spacing w:before="46" w:after="46"/>
            </w:pPr>
            <w:r>
              <w:rPr>
                <w:b/>
                <w:bCs/>
                <w:color w:val="8186EF"/>
                <w:sz w:val="14"/>
                <w:szCs w:val="14"/>
              </w:rPr>
              <w:t xml:space="preserve">(13)</w:t>
            </w:r>
          </w:p>
        </w:tc>
        <w:tc>
          <w:tcPr>
            <w:tcW w:type="pct" w:w="2134"/>
            <w:tcMar>
              <w:top w:type="dxa" w:w="50"/>
              <w:left w:type="dxa" w:w="110"/>
              <w:bottom w:type="dxa" w:w="50"/>
              <w:right w:type="dxa" w:w="110"/>
            </w:tcMar>
          </w:tcPr>
          <w:p>
            <w:pPr>
              <w:spacing w:before="28" w:after="28"/>
            </w:pPr>
            <w:r>
              <w:rPr>
                <w:sz w:val="15"/>
                <w:szCs w:val="15"/>
              </w:rPr>
              <w:t xml:space="preserve">Acting on it: an insight nobody acts on changes nothing</w:t>
            </w:r>
          </w:p>
        </w:tc>
      </w:tr>
      <w:tr>
        <w:tc>
          <w:tcPr>
            <w:tcW w:type="pct" w:w="855"/>
            <w:shd w:fill="FBFAF6" w:val="clear"/>
            <w:tcMar>
              <w:top w:type="dxa" w:w="50"/>
              <w:left w:type="dxa" w:w="110"/>
              <w:bottom w:type="dxa" w:w="50"/>
              <w:right w:type="dxa" w:w="110"/>
            </w:tcMar>
          </w:tcPr>
          <w:p>
            <w:pPr>
              <w:spacing w:before="28" w:after="28"/>
            </w:pPr>
            <w:r>
              <w:rPr>
                <w:sz w:val="15"/>
                <w:szCs w:val="15"/>
              </w:rPr>
              <w:t xml:space="preserve">Competitive position</w:t>
            </w:r>
          </w:p>
        </w:tc>
        <w:tc>
          <w:tcPr>
            <w:tcW w:type="pct" w:w="2011"/>
            <w:shd w:fill="FBFAF6" w:val="clear"/>
            <w:tcMar>
              <w:top w:type="dxa" w:w="50"/>
              <w:left w:type="dxa" w:w="110"/>
              <w:bottom w:type="dxa" w:w="50"/>
              <w:right w:type="dxa" w:w="110"/>
            </w:tcMar>
          </w:tcPr>
          <w:p>
            <w:pPr>
              <w:spacing w:before="28" w:after="28"/>
            </w:pPr>
            <w:r>
              <w:rPr>
                <w:sz w:val="15"/>
                <w:szCs w:val="15"/>
              </w:rPr>
              <w:t xml:space="preserve">Capability competitors cannot quickly copy</w:t>
            </w:r>
          </w:p>
        </w:tc>
        <w:tc>
          <w:tcPr>
            <w:tcW w:type="pct" w:w="2134"/>
            <w:shd w:fill="FBFAF6" w:val="clear"/>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(14) </w:t>
            </w:r>
            <w:r>
              <w:rPr>
                <w:u w:val="single"/>
                <w:sz w:val="15"/>
                <w:szCs w:val="15"/>
              </w:rPr>
              <w:t xml:space="preserve">              </w:t>
            </w:r>
            <w:r>
              <w:rPr>
                <w:sz w:val="15"/>
                <w:szCs w:val="15"/>
              </w:rPr>
              <w:t xml:space="preserve"> </w:t>
            </w:r>
            <w:r>
              <w:rPr>
                <w:sz w:val="15"/>
                <w:szCs w:val="15"/>
              </w:rPr>
              <w:t xml:space="preserve">: more data means more false findings</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Skills   ·   Capability competitors cannot quickly copy   ·   Spurious patterns   ·   Privacy and law   ·   Sensor and process data alongside financial data   ·   Cost: storage, tools and time add up before any benefit   ·   Data quality</w:t>
            </w:r>
          </w:p>
        </w:tc>
      </w:tr>
    </w:tbl>
    <w:p/>
    <w:p>
      <w:pPr>
        <w:sectPr>
          <w:headerReference w:type="default" r:id="rIdHdr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13.4  Opportunities and challenges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attention</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ordinary</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worsens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Data quality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variables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Skills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connection</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Cost: storage, tools and time add up before any benefit</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judgement</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Privacy and law</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plausibly</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Sensor and process data alongside financial data</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projects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Spurious patterns</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last row deserves attention because it worsens as data grows. With enough variables, patterns appear by chance alone: two series that happen to move together, with no connection between them. More data finds more such patterns, not fewer, and only judgement about what could plausibly cause what separates them from real findings. The challenge that defeats most projects, though, is the ordinary one in the fifth row. An insight that reaches nobody with the authority to act changes nothing, and the cost of producing it has been spent.</w:t>
      </w:r>
    </w:p>
    <w:p>
      <w:pPr>
        <w:sectPr>
          <w:headerReference w:type="default" r:id="rIdHdr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13.5  Why data and capability are strategic assets</w:t>
            </w:r>
          </w:p>
          <w:p>
            <w:pPr>
              <w:spacing w:before="0" w:after="46"/>
            </w:pPr>
            <w:r>
              <w:rPr>
                <w:color w:val="E8EAF6"/>
                <w:sz w:val="16"/>
                <w:szCs w:val="16"/>
              </w:rPr>
              <w:t xml:space="preserve">Chapter 13 · section 13.5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1–8</w:t>
      </w:r>
    </w:p>
    <w:p>
      <w:pPr>
        <w:spacing w:before="20" w:after="20" w:line="360" w:lineRule="auto"/>
        <w:ind w:left="200"/>
      </w:pPr>
      <w:r>
        <w:rPr>
          <w:sz w:val="19"/>
          <w:szCs w:val="19"/>
        </w:rPr>
        <w:t xml:space="preserve">The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row carries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t>
      </w:r>
      <w:r>
        <w:rPr>
          <w:sz w:val="19"/>
          <w:szCs w:val="19"/>
        </w:rPr>
        <w:t xml:space="preserve">A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can buy the same software tomorrow, and could in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buy similar data. </w:t>
      </w:r>
      <w:r>
        <w:rPr>
          <w:sz w:val="19"/>
          <w:szCs w:val="19"/>
        </w:rPr>
        <w:t xml:space="preserve">What cannot be bought quickly is the data science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people who know which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is worth asking, which answer is suspect, and how to say so to a board. </w:t>
      </w:r>
      <w:r>
        <w:rPr>
          <w:sz w:val="19"/>
          <w:szCs w:val="19"/>
        </w:rPr>
        <w:t xml:space="preserve">The last row is the honest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t>
      </w:r>
      <w:r>
        <w:rPr>
          <w:sz w:val="19"/>
          <w:szCs w:val="19"/>
        </w:rPr>
        <w:t xml:space="preserve">Data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the odds of a good decision; it does not make the decision. </w:t>
      </w:r>
      <w:r>
        <w:rPr>
          <w:sz w:val="19"/>
          <w:szCs w:val="19"/>
        </w:rPr>
        <w:t xml:space="preserve">Book 3's Gulf expansion rested on figures but remained a judgement about risk and ambition, and no quantity of data would have removed.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expansion   ·   principle   ·   qualification   ·   competitor   ·   improves   ·   argument   ·   fourth   ·   question   ·   capability</w:t>
            </w:r>
          </w:p>
        </w:tc>
      </w:tr>
    </w:tbl>
    <w:p/>
    <w:p>
      <w:pPr>
        <w:spacing w:before="44" w:after="10"/>
      </w:pPr>
      <w:r>
        <w:rPr>
          <w:b/>
          <w:bCs/>
          <w:color w:val="353A7C"/>
          <w:sz w:val="18"/>
          <w:szCs w:val="18"/>
        </w:rPr>
        <w:t xml:space="preserve">The words this section uses</w:t>
      </w:r>
    </w:p>
    <w:p>
      <w:pPr>
        <w:spacing w:before="0" w:after="12"/>
      </w:pPr>
      <w:r>
        <w:rPr>
          <w:color w:val="6B7280"/>
          <w:sz w:val="15"/>
          <w:szCs w:val="15"/>
        </w:rPr>
        <w:t xml:space="preserve">Each term sits against what it means, and an instance of it.</w:t>
      </w:r>
    </w:p>
    <w:p>
      <w:pPr>
        <w:spacing w:after="40" w:before="90"/>
        <w:jc w:val="center"/>
      </w:pPr>
      <w:r>
        <w:drawing>
          <wp:inline distT="0" distB="0" distL="0" distR="0">
            <wp:extent cx="5734050" cy="341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34178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structured data   ·   It enables, not decides   ·   It compounds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83"/>
        <w:gridCol w:w="4617"/>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595"/>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5"/>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595"/>
            <w:tcMar>
              <w:top w:type="dxa" w:w="50"/>
              <w:left w:type="dxa" w:w="110"/>
              <w:bottom w:type="dxa" w:w="50"/>
              <w:right w:type="dxa" w:w="110"/>
            </w:tcMar>
          </w:tcPr>
          <w:p>
            <w:pPr>
              <w:spacing w:before="26" w:after="26"/>
            </w:pPr>
            <w:r>
              <w:rPr>
                <w:color w:val="232733"/>
                <w:sz w:val="16"/>
                <w:szCs w:val="16"/>
              </w:rPr>
              <w:t xml:space="preserve">data science capability</w:t>
            </w:r>
          </w:p>
        </w:tc>
        <w:tc>
          <w:tcPr>
            <w:tcW w:type="pct" w:w="2405"/>
            <w:tcMar>
              <w:top w:type="dxa" w:w="50"/>
              <w:left w:type="dxa" w:w="110"/>
              <w:bottom w:type="dxa" w:w="50"/>
              <w:right w:type="dxa" w:w="110"/>
            </w:tcMar>
          </w:tcPr>
          <w:p>
            <w:pPr>
              <w:spacing w:before="26" w:after="26"/>
            </w:pPr>
            <w:r>
              <w:rPr>
                <w:color w:val="232733"/>
                <w:sz w:val="16"/>
                <w:szCs w:val="16"/>
              </w:rPr>
              <w:t xml:space="preserve">القدرة على علم البيانات</w:t>
            </w:r>
          </w:p>
        </w:tc>
      </w:tr>
    </w:tbl>
    <w:p/>
    <w:p>
      <w:pPr>
        <w:sectPr>
          <w:headerReference w:type="default" r:id="rIdHdr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13.5  Why data and capability are strategic assets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fourth</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question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argument</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qualification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competitor</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improves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principle</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It compounds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capability</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It enables, not decides</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fourth row carries the argument. A competitor can buy the same software tomorrow, and could in principle buy similar data. What cannot be bought quickly is the data science capability: people who know which question is worth asking, which answer is suspect, and how to say so to a board. The last row is the honest qualification. Data improves the odds of a good decision; it does not make the decision. Book 3's Gulf expansion rested on figures but remained a judgement about risk and ambition, and no quantity of data would have removed.</w:t>
      </w:r>
    </w:p>
    <w:p>
      <w:pPr>
        <w:sectPr>
          <w:headerReference w:type="default" r:id="rIdHdr1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13.6  Business intelligence</w:t>
            </w:r>
          </w:p>
          <w:p>
            <w:pPr>
              <w:spacing w:before="0" w:after="46"/>
            </w:pPr>
            <w:r>
              <w:rPr>
                <w:color w:val="E8EAF6"/>
                <w:sz w:val="16"/>
                <w:szCs w:val="16"/>
              </w:rPr>
              <w:t xml:space="preserve">Chapter 13 · section 13.6</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1–4</w:t>
      </w:r>
    </w:p>
    <w:p>
      <w:pPr>
        <w:spacing w:before="20" w:after="20" w:line="360" w:lineRule="auto"/>
        <w:ind w:left="200"/>
      </w:pPr>
      <w:r>
        <w:rPr>
          <w:sz w:val="19"/>
          <w:szCs w:val="19"/>
        </w:rPr>
        <w:t xml:space="preserve">The third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is the one that is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missing. </w:t>
      </w:r>
      <w:r>
        <w:rPr>
          <w:sz w:val="19"/>
          <w:szCs w:val="19"/>
        </w:rPr>
        <w:t xml:space="preserve">Applications and tools can be bought; agreed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cannot. </w:t>
      </w:r>
      <w:r>
        <w:rPr>
          <w:sz w:val="19"/>
          <w:szCs w:val="19"/>
        </w:rPr>
        <w:t xml:space="preserve">If two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show different figures for the same measure because nobody settled what it means, the arrangement has failed however good the software is.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analytics   ·   dashboards   ·   usually   ·   element   ·   definitions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Business intelligence is not a dashboard</w:t>
            </w:r>
          </w:p>
        </w:tc>
      </w:tr>
    </w:tbl>
    <w:p/>
    <w:p>
      <w:pPr>
        <w:spacing w:before="44" w:after="14"/>
      </w:pPr>
      <w:r>
        <w:rPr>
          <w:b/>
          <w:bCs/>
          <w:color w:val="353A7C"/>
          <w:sz w:val="18"/>
          <w:szCs w:val="18"/>
        </w:rPr>
        <w:t xml:space="preserve">Summary 2</w:t>
      </w:r>
      <w:r>
        <w:rPr>
          <w:color w:val="6B7280"/>
          <w:sz w:val="16"/>
          <w:szCs w:val="16"/>
        </w:rPr>
        <w:t xml:space="preserve">      gaps 5–10</w:t>
      </w:r>
    </w:p>
    <w:p>
      <w:pPr>
        <w:spacing w:before="20" w:after="20" w:line="360" w:lineRule="auto"/>
        <w:ind w:left="200"/>
      </w:pPr>
      <w:r>
        <w:rPr>
          <w:sz w:val="19"/>
          <w:szCs w:val="19"/>
        </w:rPr>
        <w:t xml:space="preserve">A dashboard is one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within business intelligence. </w:t>
      </w:r>
      <w:r>
        <w:rPr>
          <w:sz w:val="19"/>
          <w:szCs w:val="19"/>
        </w:rPr>
        <w:t xml:space="preserve">The term covers the whole arrangement: the applications, the tools that feed them, and the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that make the numbers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t>
      </w:r>
      <w:r>
        <w:rPr>
          <w:sz w:val="19"/>
          <w:szCs w:val="19"/>
        </w:rPr>
        <w:t xml:space="preserve">A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equating the two has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it too far. </w:t>
      </w:r>
      <w:r>
        <w:rPr>
          <w:sz w:val="19"/>
          <w:szCs w:val="19"/>
        </w:rPr>
        <w:t xml:space="preserve">Business intelligence looks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and sideways: what happened, where, and compared with. </w:t>
      </w:r>
      <w:r>
        <w:rPr>
          <w:sz w:val="19"/>
          <w:szCs w:val="19"/>
        </w:rPr>
        <w:t xml:space="preserve">Part IV goes further, into what will happen and what should be done, which is the distinction between the four types of analytics.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trustworthy   ·   backward   ·   veracity   ·   practices   ·   question   ·   narrowed   ·   application</w:t>
            </w:r>
          </w:p>
        </w:tc>
      </w:tr>
    </w:tbl>
    <w:p/>
    <w:p>
      <w:pPr>
        <w:spacing w:before="44" w:after="10"/>
      </w:pPr>
      <w:r>
        <w:rPr>
          <w:b/>
          <w:bCs/>
          <w:color w:val="353A7C"/>
          <w:sz w:val="18"/>
          <w:szCs w:val="18"/>
        </w:rPr>
        <w:t xml:space="preserve">The words this section uses</w:t>
      </w:r>
    </w:p>
    <w:p>
      <w:pPr>
        <w:spacing w:before="0" w:after="12"/>
      </w:pPr>
      <w:r>
        <w:rPr>
          <w:color w:val="6B7280"/>
          <w:sz w:val="15"/>
          <w:szCs w:val="15"/>
        </w:rPr>
        <w:t xml:space="preserve">Each term sits against what it means, and an instance of it.</w:t>
      </w:r>
    </w:p>
    <w:p>
      <w:pPr>
        <w:spacing w:after="40" w:before="90"/>
        <w:jc w:val="center"/>
      </w:pPr>
      <w:r>
        <w:drawing>
          <wp:inline distT="0" distB="0" distL="0" distR="0">
            <wp:extent cx="5734050" cy="33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33574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Applications   ·   What it is not   ·   semi-structured data</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business intelligence (BI)</w:t>
            </w:r>
          </w:p>
        </w:tc>
        <w:tc>
          <w:tcPr>
            <w:tcW w:type="pct" w:w="2400"/>
            <w:tcMar>
              <w:top w:type="dxa" w:w="50"/>
              <w:left w:type="dxa" w:w="110"/>
              <w:bottom w:type="dxa" w:w="50"/>
              <w:right w:type="dxa" w:w="110"/>
            </w:tcMar>
          </w:tcPr>
          <w:p>
            <w:pPr>
              <w:spacing w:before="26" w:after="26"/>
            </w:pPr>
            <w:r>
              <w:rPr>
                <w:color w:val="232733"/>
                <w:sz w:val="16"/>
                <w:szCs w:val="16"/>
              </w:rPr>
              <w:t xml:space="preserve">ذكاء الأعمال</w:t>
            </w:r>
          </w:p>
        </w:tc>
      </w:tr>
    </w:tbl>
    <w:p/>
    <w:p>
      <w:pPr>
        <w:sectPr>
          <w:headerReference w:type="default" r:id="rIdHdr1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13.6  Business intelligence</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element</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trustworthy</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usually</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question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definitions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narrowed</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dashboards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backward</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application</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Applications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practices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What it is not</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third element is the one that is usually missing. Applications and tools can be bought; agreed definitions cannot. If two dashboards show different figures for the same measure because nobody settled what it means, the arrangement has failed however good the software is.</w:t>
      </w:r>
    </w:p>
    <w:p>
      <w:pPr>
        <w:spacing w:before="20" w:after="20"/>
        <w:ind w:left="240" w:hanging="240"/>
      </w:pPr>
      <w:r>
        <w:rPr>
          <w:b/>
          <w:bCs/>
          <w:color w:val="353A7C"/>
          <w:sz w:val="15"/>
          <w:szCs w:val="15"/>
        </w:rPr>
        <w:t xml:space="preserve">Summary 2   </w:t>
      </w:r>
      <w:r>
        <w:rPr>
          <w:color w:val="6B7280"/>
          <w:sz w:val="15"/>
          <w:szCs w:val="15"/>
        </w:rPr>
        <w:t xml:space="preserve">A dashboard is one application within business intelligence. The term covers the whole arrangement: the applications, the tools that feed them, and the practices that make the numbers trustworthy. A question equating the two has narrowed it too far. Business intelligence looks backward and sideways: what happened, where, and compared with. Part IV goes further, into what will happen and what should be done, which is the distinction between the four types of analytics.</w:t>
      </w:r>
    </w:p>
    <w:p>
      <w:pPr>
        <w:sectPr>
          <w:headerReference w:type="default" r:id="rIdHdr1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13.7  Extended Example 13A: one number becomes a decision</w:t>
            </w:r>
          </w:p>
          <w:p>
            <w:pPr>
              <w:spacing w:before="0" w:after="46"/>
            </w:pPr>
            <w:r>
              <w:rPr>
                <w:color w:val="E8EAF6"/>
                <w:sz w:val="16"/>
                <w:szCs w:val="16"/>
              </w:rPr>
              <w:t xml:space="preserve">Chapter 13 · section 13.7</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This example takes a single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figure and walks it up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to an action. </w:t>
      </w:r>
      <w:r>
        <w:rPr>
          <w:sz w:val="19"/>
          <w:szCs w:val="19"/>
        </w:rPr>
        <w:t xml:space="preserve">It is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because the exam gives a statement and asks which step it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w:t>
      </w:r>
      <w:r>
        <w:rPr>
          <w:sz w:val="19"/>
          <w:szCs w:val="19"/>
        </w:rPr>
        <w:t xml:space="preserve">The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is 240,000. </w:t>
      </w:r>
      <w:r>
        <w:rPr>
          <w:sz w:val="19"/>
          <w:szCs w:val="19"/>
        </w:rPr>
        <w:t xml:space="preserve">On its own it means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at all: it could be cases, dinars,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or an account code. </w:t>
      </w:r>
      <w:r>
        <w:rPr>
          <w:sz w:val="19"/>
          <w:szCs w:val="19"/>
        </w:rPr>
        <w:t xml:space="preserve">Place it in context and it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information: 240,000 cases sold in 2028 Q3. </w:t>
      </w:r>
      <w:r>
        <w:rPr>
          <w:sz w:val="19"/>
          <w:szCs w:val="19"/>
        </w:rPr>
        <w:t xml:space="preserve">Now it can be compared with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which is the whole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of context. </w:t>
      </w:r>
      <w:r>
        <w:rPr>
          <w:sz w:val="19"/>
          <w:szCs w:val="19"/>
        </w:rPr>
        <w:t xml:space="preserve">Set it beside the other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and a pattern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w:t>
      </w:r>
      <w:r>
        <w:rPr>
          <w:sz w:val="19"/>
          <w:szCs w:val="19"/>
        </w:rPr>
        <w:t xml:space="preserve">The third quarter is the peak in both years, at 240,400 cases in 2027 and 240,000 in 2028. </w:t>
      </w:r>
      <w:r>
        <w:rPr>
          <w:sz w:val="19"/>
          <w:szCs w:val="19"/>
        </w:rPr>
        <w:t xml:space="preserve">That is knowledge: a regularity across cases rather than a single fact. </w:t>
      </w:r>
      <w:r>
        <w:rPr>
          <w:sz w:val="19"/>
          <w:szCs w:val="19"/>
        </w:rPr>
        <w:t xml:space="preserve">Knowledge says what happens; insight says why. </w:t>
      </w:r>
      <w:r>
        <w:rPr>
          <w:sz w:val="19"/>
          <w:szCs w:val="19"/>
        </w:rPr>
        <w:t xml:space="preserve">The third quarter is also the hottest, at 34 degrees against 15 in the first.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something   ·   decision   ·   kilometres   ·   progression   ·   appears   ·   Beverages   ·   purpose   ·   represents   ·   quarters   ·   exam-core   ·   number   ·   becomes   ·   nothing</w:t>
            </w:r>
          </w:p>
        </w:tc>
      </w:tr>
    </w:tbl>
    <w:p/>
    <w:p>
      <w:pPr>
        <w:spacing w:before="44" w:after="14"/>
      </w:pPr>
      <w:r>
        <w:rPr>
          <w:b/>
          <w:bCs/>
          <w:color w:val="353A7C"/>
          <w:sz w:val="18"/>
          <w:szCs w:val="18"/>
        </w:rPr>
        <w:t xml:space="preserve">Summary 2</w:t>
      </w:r>
      <w:r>
        <w:rPr>
          <w:color w:val="6B7280"/>
          <w:sz w:val="16"/>
          <w:szCs w:val="16"/>
        </w:rPr>
        <w:t xml:space="preserve">      gaps 13–20</w:t>
      </w:r>
    </w:p>
    <w:p>
      <w:pPr>
        <w:spacing w:before="20" w:after="20" w:line="360" w:lineRule="auto"/>
        <w:ind w:left="200"/>
      </w:pPr>
      <w:r>
        <w:rPr>
          <w:sz w:val="19"/>
          <w:szCs w:val="19"/>
        </w:rPr>
        <w:t xml:space="preserve">The decision follows from the insight, not from the pattern. </w:t>
      </w:r>
      <w:r>
        <w:rPr>
          <w:sz w:val="19"/>
          <w:szCs w:val="19"/>
        </w:rPr>
        <w:t xml:space="preserve">If the peak follows the weather rather than the promotion calendar, the extra shift should be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to forecast temperature, and promotion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in the hottest weeks may be buying demand that would have arrived anyway. </w:t>
      </w:r>
      <w:r>
        <w:rPr>
          <w:sz w:val="19"/>
          <w:szCs w:val="19"/>
        </w:rPr>
        <w:t xml:space="preserve"/>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up to insight is analysis and can be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w:t>
      </w:r>
      <w:r>
        <w:rPr>
          <w:sz w:val="19"/>
          <w:szCs w:val="19"/>
        </w:rPr>
        <w:t xml:space="preserve">The action requires somebody with the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to change the shift pattern, and willing to accept an analyst's finding over a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assumption. </w:t>
      </w:r>
      <w:r>
        <w:rPr>
          <w:sz w:val="19"/>
          <w:szCs w:val="19"/>
        </w:rPr>
        <w:t xml:space="preserve">That is the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the fourth row describes, and it is not bought with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capability   ·   authority   ·   spending   ·   software   ·   becomes   ·   Everything   ·   scheduled   ·   delegated   ·   long-standing</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Name four characteristics</w:t>
            </w:r>
          </w:p>
        </w:tc>
      </w:tr>
    </w:tbl>
    <w:p/>
    <w:p>
      <w:pPr>
        <w:spacing w:before="20" w:after="20" w:line="360" w:lineRule="auto"/>
        <w:ind w:left="200"/>
      </w:pPr>
      <w:r>
        <w:rPr>
          <w:sz w:val="19"/>
          <w:szCs w:val="19"/>
        </w:rPr>
        <w:t xml:space="preserve">Complete the blank cells.</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921"/>
        <w:gridCol w:w="1455"/>
        <w:gridCol w:w="422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Your turn: name four characteristics (complete the blanks)</w:t>
            </w:r>
          </w:p>
        </w:tc>
      </w:tr>
      <w:tr>
        <w:tc>
          <w:tcPr>
            <w:tcW w:type="pct" w:w="2042"/>
            <w:shd w:fill="353A7C" w:val="clear"/>
            <w:tcMar>
              <w:top w:type="dxa" w:w="50"/>
              <w:left w:type="dxa" w:w="110"/>
              <w:bottom w:type="dxa" w:w="50"/>
              <w:right w:type="dxa" w:w="110"/>
            </w:tcMar>
          </w:tcPr>
          <w:p>
            <w:pPr>
              <w:spacing w:before="30" w:after="30"/>
            </w:pPr>
            <w:r>
              <w:rPr>
                <w:b/>
                <w:bCs/>
                <w:color w:val="FFFFFF"/>
                <w:sz w:val="15"/>
                <w:szCs w:val="15"/>
              </w:rPr>
              <w:t xml:space="preserve">What is described</w:t>
            </w:r>
          </w:p>
        </w:tc>
        <w:tc>
          <w:tcPr>
            <w:tcW w:type="pct" w:w="758"/>
            <w:shd w:fill="353A7C" w:val="clear"/>
            <w:tcMar>
              <w:top w:type="dxa" w:w="50"/>
              <w:left w:type="dxa" w:w="110"/>
              <w:bottom w:type="dxa" w:w="50"/>
              <w:right w:type="dxa" w:w="110"/>
            </w:tcMar>
          </w:tcPr>
          <w:p>
            <w:pPr>
              <w:spacing w:before="30" w:after="30"/>
            </w:pPr>
            <w:r>
              <w:rPr>
                <w:b/>
                <w:bCs/>
                <w:color w:val="FFFFFF"/>
                <w:sz w:val="15"/>
                <w:szCs w:val="15"/>
              </w:rPr>
              <w:t xml:space="preserve">Which V?</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Why</w:t>
            </w:r>
          </w:p>
        </w:tc>
      </w:tr>
      <w:tr>
        <w:tc>
          <w:tcPr>
            <w:tcW w:type="pct" w:w="2042"/>
            <w:tcMar>
              <w:top w:type="dxa" w:w="50"/>
              <w:left w:type="dxa" w:w="110"/>
              <w:bottom w:type="dxa" w:w="50"/>
              <w:right w:type="dxa" w:w="110"/>
            </w:tcMar>
          </w:tcPr>
          <w:p>
            <w:pPr>
              <w:spacing w:before="28" w:after="28"/>
            </w:pPr>
            <w:r>
              <w:rPr>
                <w:sz w:val="15"/>
                <w:szCs w:val="15"/>
              </w:rPr>
              <w:t xml:space="preserve">Millions of order lines held over three years</w:t>
            </w:r>
          </w:p>
        </w:tc>
        <w:tc>
          <w:tcPr>
            <w:tcW w:type="pct" w:w="758"/>
            <w:tcMar>
              <w:top w:type="dxa" w:w="50"/>
              <w:left w:type="dxa" w:w="110"/>
              <w:bottom w:type="dxa" w:w="50"/>
              <w:right w:type="dxa" w:w="110"/>
            </w:tcMar>
          </w:tcPr>
          <w:p>
            <w:pPr>
              <w:spacing w:before="28" w:after="28"/>
            </w:pPr>
            <w:r>
              <w:rPr>
                <w:sz w:val="15"/>
                <w:szCs w:val="15"/>
              </w:rPr>
              <w:t xml:space="preserve">Volume</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(21)</w:t>
            </w:r>
          </w:p>
        </w:tc>
      </w:tr>
      <w:tr>
        <w:tc>
          <w:tcPr>
            <w:tcW w:type="pct" w:w="2042"/>
            <w:shd w:fill="FBFAF6" w:val="clear"/>
            <w:tcMar>
              <w:top w:type="dxa" w:w="50"/>
              <w:left w:type="dxa" w:w="110"/>
              <w:bottom w:type="dxa" w:w="50"/>
              <w:right w:type="dxa" w:w="110"/>
            </w:tcMar>
          </w:tcPr>
          <w:p>
            <w:pPr>
              <w:spacing w:before="28" w:after="28"/>
            </w:pPr>
            <w:r>
              <w:rPr>
                <w:sz w:val="15"/>
                <w:szCs w:val="15"/>
              </w:rPr>
              <w:t xml:space="preserve">Plant sensors reporting every few seconds</w:t>
            </w:r>
          </w:p>
        </w:tc>
        <w:tc>
          <w:tcPr>
            <w:tcW w:type="pct" w:w="758"/>
            <w:shd w:fill="FBFAF6" w:val="clear"/>
            <w:tcMar>
              <w:top w:type="dxa" w:w="50"/>
              <w:left w:type="dxa" w:w="110"/>
              <w:bottom w:type="dxa" w:w="50"/>
              <w:right w:type="dxa" w:w="110"/>
            </w:tcMar>
          </w:tcPr>
          <w:p>
            <w:pPr>
              <w:spacing w:before="28" w:after="28"/>
            </w:pPr>
            <w:r>
              <w:rPr>
                <w:sz w:val="15"/>
                <w:szCs w:val="15"/>
              </w:rPr>
              <w:t xml:space="preserve">Velocity</w:t>
            </w:r>
          </w:p>
        </w:tc>
        <w:tc>
          <w:tcPr>
            <w:tcW w:type="pct" w:w="2200"/>
            <w:shd w:fill="FBFAF6" w:val="clear"/>
            <w:tcMar>
              <w:top w:type="dxa" w:w="50"/>
              <w:left w:type="dxa" w:w="110"/>
              <w:bottom w:type="dxa" w:w="50"/>
              <w:right w:type="dxa" w:w="110"/>
            </w:tcMar>
          </w:tcPr>
          <w:p>
            <w:pPr>
              <w:spacing w:before="28" w:after="28"/>
            </w:pPr>
            <w:r>
              <w:rPr>
                <w:sz w:val="15"/>
                <w:szCs w:val="15"/>
              </w:rPr>
              <w:t xml:space="preserve">Velocity describes how fast data arrives, and sensor data arrives far faster than monthly reporting</w:t>
            </w:r>
          </w:p>
        </w:tc>
      </w:tr>
      <w:tr>
        <w:tc>
          <w:tcPr>
            <w:tcW w:type="pct" w:w="2042"/>
            <w:tcMar>
              <w:top w:type="dxa" w:w="50"/>
              <w:left w:type="dxa" w:w="110"/>
              <w:bottom w:type="dxa" w:w="50"/>
              <w:right w:type="dxa" w:w="110"/>
            </w:tcMar>
          </w:tcPr>
          <w:p>
            <w:pPr>
              <w:spacing w:before="28" w:after="28"/>
            </w:pPr>
            <w:r>
              <w:rPr>
                <w:sz w:val="15"/>
                <w:szCs w:val="15"/>
              </w:rPr>
              <w:t xml:space="preserve">Numbers, emails and photographs together</w:t>
            </w:r>
          </w:p>
        </w:tc>
        <w:tc>
          <w:tcPr>
            <w:tcW w:type="pct" w:w="758"/>
            <w:shd w:fill="FFFFFF" w:val="clear"/>
            <w:tcMar>
              <w:top w:type="dxa" w:w="50"/>
              <w:left w:type="dxa" w:w="110"/>
              <w:bottom w:type="dxa" w:w="50"/>
              <w:right w:type="dxa" w:w="110"/>
            </w:tcMar>
          </w:tcPr>
          <w:p>
            <w:pPr>
              <w:spacing w:before="46" w:after="46"/>
            </w:pPr>
            <w:r>
              <w:rPr>
                <w:b/>
                <w:bCs/>
                <w:color w:val="8186EF"/>
                <w:sz w:val="14"/>
                <w:szCs w:val="14"/>
              </w:rPr>
              <w:t xml:space="preserve">(22)</w:t>
            </w:r>
          </w:p>
        </w:tc>
        <w:tc>
          <w:tcPr>
            <w:tcW w:type="pct" w:w="2200"/>
            <w:tcMar>
              <w:top w:type="dxa" w:w="50"/>
              <w:left w:type="dxa" w:w="110"/>
              <w:bottom w:type="dxa" w:w="50"/>
              <w:right w:type="dxa" w:w="110"/>
            </w:tcMar>
          </w:tcPr>
          <w:p>
            <w:pPr>
              <w:spacing w:before="28" w:after="28"/>
            </w:pPr>
            <w:r>
              <w:rPr>
                <w:sz w:val="15"/>
                <w:szCs w:val="15"/>
              </w:rPr>
              <w:t xml:space="preserve">It describes how many different kinds of data are involved</w:t>
            </w:r>
          </w:p>
        </w:tc>
      </w:tr>
      <w:tr>
        <w:tc>
          <w:tcPr>
            <w:tcW w:type="pct" w:w="2042"/>
            <w:shd w:fill="FBFAF6" w:val="clear"/>
            <w:tcMar>
              <w:top w:type="dxa" w:w="50"/>
              <w:left w:type="dxa" w:w="110"/>
              <w:bottom w:type="dxa" w:w="50"/>
              <w:right w:type="dxa" w:w="110"/>
            </w:tcMar>
          </w:tcPr>
          <w:p>
            <w:pPr>
              <w:spacing w:before="28" w:after="28"/>
            </w:pPr>
            <w:r>
              <w:rPr>
                <w:sz w:val="15"/>
                <w:szCs w:val="15"/>
              </w:rPr>
              <w:t xml:space="preserve">Three spellings of one distributor</w:t>
            </w:r>
          </w:p>
        </w:tc>
        <w:tc>
          <w:tcPr>
            <w:tcW w:type="pct" w:w="758"/>
            <w:shd w:fill="FFFFFF" w:val="clear"/>
            <w:tcMar>
              <w:top w:type="dxa" w:w="50"/>
              <w:left w:type="dxa" w:w="110"/>
              <w:bottom w:type="dxa" w:w="50"/>
              <w:right w:type="dxa" w:w="110"/>
            </w:tcMar>
          </w:tcPr>
          <w:p>
            <w:pPr>
              <w:spacing w:before="46" w:after="46"/>
            </w:pPr>
            <w:r>
              <w:rPr>
                <w:b/>
                <w:bCs/>
                <w:color w:val="8186EF"/>
                <w:sz w:val="14"/>
                <w:szCs w:val="14"/>
              </w:rPr>
              <w:t xml:space="preserve">(23)</w:t>
            </w:r>
          </w:p>
        </w:tc>
        <w:tc>
          <w:tcPr>
            <w:tcW w:type="pct" w:w="2200"/>
            <w:shd w:fill="FBFAF6" w:val="clear"/>
            <w:tcMar>
              <w:top w:type="dxa" w:w="50"/>
              <w:left w:type="dxa" w:w="110"/>
              <w:bottom w:type="dxa" w:w="50"/>
              <w:right w:type="dxa" w:w="110"/>
            </w:tcMar>
          </w:tcPr>
          <w:p>
            <w:pPr>
              <w:spacing w:before="28" w:after="28"/>
            </w:pPr>
            <w:r>
              <w:rPr>
                <w:sz w:val="15"/>
                <w:szCs w:val="15"/>
              </w:rPr>
              <w:t xml:space="preserve">It describes how far the data can be trusted</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data science capability   ·   Veracity   ·   It describes how much data there is   ·   Variety</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The pattern behind the progression</w:t>
            </w:r>
          </w:p>
        </w:tc>
      </w:tr>
    </w:tbl>
    <w:p/>
    <w:p>
      <w:pPr>
        <w:pageBreakBefore w:val="true"/>
        <w:spacing w:after="0"/>
      </w:pPr>
      <w:r>
        <w:rPr>
          <w:sz w:val="2"/>
        </w:rPr>
        <w:t xml:space="preserve"> </w:t>
      </w:r>
    </w:p>
    <w:p>
      <w:pPr>
        <w:spacing w:before="44" w:after="14"/>
      </w:pPr>
      <w:r>
        <w:rPr>
          <w:b/>
          <w:bCs/>
          <w:color w:val="353A7C"/>
          <w:sz w:val="18"/>
          <w:szCs w:val="18"/>
        </w:rPr>
        <w:t xml:space="preserve">Summary 3</w:t>
      </w:r>
      <w:r>
        <w:rPr>
          <w:color w:val="6B7280"/>
          <w:sz w:val="16"/>
          <w:szCs w:val="16"/>
        </w:rPr>
        <w:t xml:space="preserve">      gaps 24–26</w:t>
      </w:r>
    </w:p>
    <w:p>
      <w:pPr>
        <w:spacing w:before="20" w:after="20" w:line="360" w:lineRule="auto"/>
        <w:ind w:left="200"/>
      </w:pPr>
      <w:r>
        <w:rPr>
          <w:sz w:val="19"/>
          <w:szCs w:val="19"/>
        </w:rPr>
        <w:t xml:space="preserve">A fact alone is data; a fact in context is information. </w:t>
      </w:r>
      <w:r>
        <w:rPr>
          <w:sz w:val="19"/>
          <w:szCs w:val="19"/>
        </w:rPr>
        <w:t xml:space="preserve">A regularity across cases is knowledge; an explanation of it is insight. </w:t>
      </w:r>
      <w:r>
        <w:rPr>
          <w:sz w:val="19"/>
          <w:szCs w:val="19"/>
        </w:rPr>
        <w:t xml:space="preserve">Only insight </w:t>
      </w:r>
      <w:r>
        <w:rPr>
          <w:b/>
          <w:bCs/>
          <w:color w:val="8186EF"/>
          <w:sz w:val="15"/>
          <w:szCs w:val="15"/>
        </w:rPr>
        <w:t xml:space="preserve"> (24) </w:t>
      </w:r>
      <w:r>
        <w:rPr>
          <w:u w:val="single"/>
          <w:sz w:val="19"/>
          <w:szCs w:val="19"/>
        </w:rPr>
        <w:t xml:space="preserve">           </w:t>
      </w:r>
      <w:r>
        <w:rPr>
          <w:sz w:val="19"/>
          <w:szCs w:val="19"/>
        </w:rPr>
        <w:t xml:space="preserve"> </w:t>
      </w:r>
      <w:r>
        <w:rPr>
          <w:sz w:val="19"/>
          <w:szCs w:val="19"/>
        </w:rPr>
        <w:t xml:space="preserve"> an action, because only insight says why. </w:t>
      </w:r>
      <w:r>
        <w:rPr>
          <w:sz w:val="19"/>
          <w:szCs w:val="19"/>
        </w:rPr>
        <w:t xml:space="preserve">Most </w:t>
      </w:r>
      <w:r>
        <w:rPr>
          <w:b/>
          <w:bCs/>
          <w:color w:val="8186EF"/>
          <w:sz w:val="15"/>
          <w:szCs w:val="15"/>
        </w:rPr>
        <w:t xml:space="preserve"> (25) </w:t>
      </w:r>
      <w:r>
        <w:rPr>
          <w:u w:val="single"/>
          <w:sz w:val="19"/>
          <w:szCs w:val="19"/>
        </w:rPr>
        <w:t xml:space="preserve">               </w:t>
      </w:r>
      <w:r>
        <w:rPr>
          <w:sz w:val="19"/>
          <w:szCs w:val="19"/>
        </w:rPr>
        <w:t xml:space="preserve"> </w:t>
      </w:r>
      <w:r>
        <w:rPr>
          <w:sz w:val="19"/>
          <w:szCs w:val="19"/>
        </w:rPr>
        <w:t xml:space="preserve"> stop at knowledge and act on the calendar </w:t>
      </w:r>
      <w:r>
        <w:rPr>
          <w:b/>
          <w:bCs/>
          <w:color w:val="8186EF"/>
          <w:sz w:val="15"/>
          <w:szCs w:val="15"/>
        </w:rPr>
        <w:t xml:space="preserve"> (26)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instead   ·   organizations   ·   supports   ·   context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view</w:t>
            </w:r>
          </w:p>
        </w:tc>
      </w:tr>
    </w:tbl>
    <w:p/>
    <w:p>
      <w:pPr>
        <w:spacing w:before="44" w:after="14"/>
      </w:pPr>
      <w:r>
        <w:rPr>
          <w:b/>
          <w:bCs/>
          <w:color w:val="353A7C"/>
          <w:sz w:val="18"/>
          <w:szCs w:val="18"/>
        </w:rPr>
        <w:t xml:space="preserve">Summary 4</w:t>
      </w:r>
      <w:r>
        <w:rPr>
          <w:color w:val="6B7280"/>
          <w:sz w:val="16"/>
          <w:szCs w:val="16"/>
        </w:rPr>
        <w:t xml:space="preserve">      gaps 27–28</w:t>
      </w:r>
    </w:p>
    <w:p>
      <w:pPr>
        <w:spacing w:before="20" w:after="20" w:line="360" w:lineRule="auto"/>
        <w:ind w:left="200"/>
      </w:pPr>
      <w:r>
        <w:rPr>
          <w:sz w:val="19"/>
          <w:szCs w:val="19"/>
        </w:rPr>
        <w:t xml:space="preserve">A </w:t>
      </w:r>
      <w:r>
        <w:rPr>
          <w:b/>
          <w:bCs/>
          <w:color w:val="8186EF"/>
          <w:sz w:val="15"/>
          <w:szCs w:val="15"/>
        </w:rPr>
        <w:t xml:space="preserve"> (27) </w:t>
      </w:r>
      <w:r>
        <w:rPr>
          <w:u w:val="single"/>
          <w:sz w:val="19"/>
          <w:szCs w:val="19"/>
        </w:rPr>
        <w:t xml:space="preserve">           </w:t>
      </w:r>
      <w:r>
        <w:rPr>
          <w:sz w:val="19"/>
          <w:szCs w:val="19"/>
        </w:rPr>
        <w:t xml:space="preserve"> </w:t>
      </w:r>
      <w:r>
        <w:rPr>
          <w:sz w:val="19"/>
          <w:szCs w:val="19"/>
        </w:rPr>
        <w:t xml:space="preserve"> gives a statement and asks which step it is. </w:t>
      </w:r>
      <w:r>
        <w:rPr>
          <w:sz w:val="19"/>
          <w:szCs w:val="19"/>
        </w:rPr>
        <w:t xml:space="preserve">Test it: is it a bare fact, a fact with context, a pattern, an explanation, or a decision? The </w:t>
      </w:r>
      <w:r>
        <w:rPr>
          <w:b/>
          <w:bCs/>
          <w:color w:val="8186EF"/>
          <w:sz w:val="15"/>
          <w:szCs w:val="15"/>
        </w:rPr>
        <w:t xml:space="preserve"> (28) </w:t>
      </w:r>
      <w:r>
        <w:rPr>
          <w:u w:val="single"/>
          <w:sz w:val="19"/>
          <w:szCs w:val="19"/>
        </w:rPr>
        <w:t xml:space="preserve">           </w:t>
      </w:r>
      <w:r>
        <w:rPr>
          <w:sz w:val="19"/>
          <w:szCs w:val="19"/>
        </w:rPr>
        <w:t xml:space="preserve"> </w:t>
      </w:r>
      <w:r>
        <w:rPr>
          <w:sz w:val="19"/>
          <w:szCs w:val="19"/>
        </w:rPr>
        <w:t xml:space="preserve"> error is calling a pattern an insight.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insight   ·   question   ·   commonest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Exam view</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Statement from the case</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Category</w:t>
            </w:r>
          </w:p>
        </w:tc>
      </w:tr>
      <w:tr>
        <w:tc>
          <w:tcPr>
            <w:tcW w:type="pct" w:w="2600"/>
            <w:tcMar>
              <w:top w:type="dxa" w:w="50"/>
              <w:left w:type="dxa" w:w="110"/>
              <w:bottom w:type="dxa" w:w="50"/>
              <w:right w:type="dxa" w:w="110"/>
            </w:tcMar>
          </w:tcPr>
          <w:p>
            <w:pPr>
              <w:spacing w:before="28" w:after="28"/>
            </w:pPr>
            <w:r>
              <w:rPr>
                <w:sz w:val="15"/>
                <w:szCs w:val="15"/>
              </w:rPr>
              <w:t xml:space="preserve">240,000</w:t>
            </w:r>
          </w:p>
        </w:tc>
        <w:tc>
          <w:tcPr>
            <w:tcW w:type="pct" w:w="2400"/>
            <w:tcMar>
              <w:top w:type="dxa" w:w="50"/>
              <w:left w:type="dxa" w:w="110"/>
              <w:bottom w:type="dxa" w:w="50"/>
              <w:right w:type="dxa" w:w="110"/>
            </w:tcMar>
          </w:tcPr>
          <w:p>
            <w:pPr>
              <w:spacing w:before="28" w:after="28"/>
            </w:pPr>
            <w:r>
              <w:rPr>
                <w:sz w:val="15"/>
                <w:szCs w:val="15"/>
              </w:rPr>
              <w:t xml:space="preserve">Data</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240,000 cases in the third quarter</w:t>
            </w:r>
          </w:p>
        </w:tc>
        <w:tc>
          <w:tcPr>
            <w:tcW w:type="pct" w:w="2400"/>
            <w:shd w:fill="FBFAF6" w:val="clear"/>
            <w:tcMar>
              <w:top w:type="dxa" w:w="50"/>
              <w:left w:type="dxa" w:w="110"/>
              <w:bottom w:type="dxa" w:w="50"/>
              <w:right w:type="dxa" w:w="110"/>
            </w:tcMar>
          </w:tcPr>
          <w:p>
            <w:pPr>
              <w:spacing w:before="28" w:after="28"/>
            </w:pPr>
            <w:r>
              <w:rPr>
                <w:sz w:val="15"/>
                <w:szCs w:val="15"/>
              </w:rPr>
              <w:t xml:space="preserve">Information</w:t>
            </w:r>
          </w:p>
        </w:tc>
      </w:tr>
      <w:tr>
        <w:tc>
          <w:tcPr>
            <w:tcW w:type="pct" w:w="2600"/>
            <w:tcMar>
              <w:top w:type="dxa" w:w="50"/>
              <w:left w:type="dxa" w:w="110"/>
              <w:bottom w:type="dxa" w:w="50"/>
              <w:right w:type="dxa" w:w="110"/>
            </w:tcMar>
          </w:tcPr>
          <w:p>
            <w:pPr>
              <w:spacing w:before="28" w:after="28"/>
            </w:pPr>
            <w:r>
              <w:rPr>
                <w:sz w:val="15"/>
                <w:szCs w:val="15"/>
              </w:rPr>
              <w:t xml:space="preserve">The third quarter is the peak every year</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(29)</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The peak follows temperature rather than the promotion calendar</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(30)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Why   ·   Knowledge   ·   Insight</w:t>
            </w:r>
          </w:p>
        </w:tc>
      </w:tr>
    </w:tbl>
    <w:p/>
    <w:p>
      <w:pPr>
        <w:sectPr>
          <w:headerReference w:type="default" r:id="rIdHdr1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13.7  Extended Example 13A: one number becomes a decision</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Beverages</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delegated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progression</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authority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exam-core</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long-standing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represents</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capability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number</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software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nothing</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It describes how much data there is</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kilometres</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Variety</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becomes</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Veracity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something</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supports</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purpose</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organizations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quarters</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instead</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appears</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question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scheduled</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commonest</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spending</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Knowledge</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Everything</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Insight</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This example takes a single Beverages figure and walks it up the progression to an action. It is exam-core, because the exam gives a statement and asks which step it represents. The number is 240,000. On its own it means nothing at all: it could be cases, dinars, kilometres or an account code. Place it in context and it becomes information: 240,000 cases sold in 2028 Q3. Now it can be compared with something, which is the whole purpose of context. Set it beside the other quarters and a pattern appears. The third quarter is the peak in both years, at 240,400 cases in 2027 and 240,000 in 2028. That is knowledge: a regularity across cases rather than a single fact. Knowledge says what happens; insight says why. The third quarter is also the hottest, at 34 degrees against 15 in the first.</w:t>
      </w:r>
    </w:p>
    <w:p>
      <w:pPr>
        <w:spacing w:before="20" w:after="20"/>
        <w:ind w:left="240" w:hanging="240"/>
      </w:pPr>
      <w:r>
        <w:rPr>
          <w:b/>
          <w:bCs/>
          <w:color w:val="353A7C"/>
          <w:sz w:val="15"/>
          <w:szCs w:val="15"/>
        </w:rPr>
        <w:t xml:space="preserve">Summary 2   </w:t>
      </w:r>
      <w:r>
        <w:rPr>
          <w:color w:val="6B7280"/>
          <w:sz w:val="15"/>
          <w:szCs w:val="15"/>
        </w:rPr>
        <w:t xml:space="preserve">The decision follows from the insight, not from the pattern. If the peak follows the weather rather than the promotion calendar, the extra shift should be scheduled to forecast temperature, and promotion spending in the hottest weeks may be buying demand that would have arrived anyway. Everything up to insight is analysis and can be delegated. The action requires somebody with the authority to change the shift pattern, and willing to accept an analyst's finding over a long-standing assumption. That is the capability the fourth row describes, and it is not bought with software.</w:t>
      </w:r>
    </w:p>
    <w:p>
      <w:pPr>
        <w:spacing w:before="20" w:after="20"/>
        <w:ind w:left="240" w:hanging="240"/>
      </w:pPr>
      <w:r>
        <w:rPr>
          <w:b/>
          <w:bCs/>
          <w:color w:val="353A7C"/>
          <w:sz w:val="15"/>
          <w:szCs w:val="15"/>
        </w:rPr>
        <w:t xml:space="preserve">Summary 3   </w:t>
      </w:r>
      <w:r>
        <w:rPr>
          <w:color w:val="6B7280"/>
          <w:sz w:val="15"/>
          <w:szCs w:val="15"/>
        </w:rPr>
        <w:t xml:space="preserve">A fact alone is data; a fact in context is information. A regularity across cases is knowledge; an explanation of it is insight. Only insight supports an action, because only insight says why. Most organizations stop at knowledge and act on the calendar instead.</w:t>
      </w:r>
    </w:p>
    <w:p>
      <w:pPr>
        <w:spacing w:before="20" w:after="20"/>
        <w:ind w:left="240" w:hanging="240"/>
      </w:pPr>
      <w:r>
        <w:rPr>
          <w:b/>
          <w:bCs/>
          <w:color w:val="353A7C"/>
          <w:sz w:val="15"/>
          <w:szCs w:val="15"/>
        </w:rPr>
        <w:t xml:space="preserve">Summary 4   </w:t>
      </w:r>
      <w:r>
        <w:rPr>
          <w:color w:val="6B7280"/>
          <w:sz w:val="15"/>
          <w:szCs w:val="15"/>
        </w:rPr>
        <w:t xml:space="preserve">A question gives a statement and asks which step it is. Test it: is it a bare fact, a fact with context, a pattern, an explanation, or a decision? The commonest error is calling a pattern an insight.</w:t>
      </w:r>
    </w:p>
    <w:p>
      <w:pPr>
        <w:sectPr>
          <w:headerReference w:type="default" r:id="rIdHdr14"/>
          <w:pgSz w:w="11906" w:h="16838" w:orient="portrait"/>
          <w:pgMar w:top="1180" w:right="1000" w:bottom="900" w:left="1000" w:header="708" w:footer="708" w:gutter="0"/>
          <w:docGrid w:linePitch="360"/>
          <w:pgNumType w:start="1"/>
        </w:sectPr>
      </w:pPr>
    </w:p>
    <w:sectPr>
      <w:headerReference w:type="default" r:id="rIdHdr14"/>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13.1 · What makes data Big</w:t>
          </w:r>
        </w:p>
      </w:tc>
      <w:tc>
        <w:tcPr>
          <w:tcW w:type="pct" w:w="1400"/>
          <w:tcMar>
            <w:top w:type="dxa" w:w="-30"/>
            <w:left w:type="dxa" w:w="30"/>
            <w:bottom w:type="dxa" w:w="-30"/>
            <w:right w:type="dxa" w:w="30"/>
          </w:tcMar>
        </w:tcPr>
        <w:p>
          <w:pPr>
            <w:jc w:val="right"/>
          </w:pPr>
          <w:r>
            <w:rPr>
              <w:color w:val="6B7280"/>
              <w:sz w:val="16"/>
              <w:szCs w:val="16"/>
            </w:rPr>
            <w:t xml:space="preserve">Handout 13.1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13.1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13.2 · Structured, semi-structured and unstructured data</w:t>
          </w:r>
        </w:p>
      </w:tc>
      <w:tc>
        <w:tcPr>
          <w:tcW w:type="pct" w:w="1400"/>
          <w:tcMar>
            <w:top w:type="dxa" w:w="-30"/>
            <w:left w:type="dxa" w:w="30"/>
            <w:bottom w:type="dxa" w:w="-30"/>
            <w:right w:type="dxa" w:w="30"/>
          </w:tcMar>
        </w:tcPr>
        <w:p>
          <w:pPr>
            <w:jc w:val="right"/>
          </w:pPr>
          <w:r>
            <w:rPr>
              <w:color w:val="6B7280"/>
              <w:sz w:val="16"/>
              <w:szCs w:val="16"/>
            </w:rPr>
            <w:t xml:space="preserve">Handout 13.2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13.2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13.3 · From data to action</w:t>
          </w:r>
        </w:p>
      </w:tc>
      <w:tc>
        <w:tcPr>
          <w:tcW w:type="pct" w:w="1400"/>
          <w:tcMar>
            <w:top w:type="dxa" w:w="-30"/>
            <w:left w:type="dxa" w:w="30"/>
            <w:bottom w:type="dxa" w:w="-30"/>
            <w:right w:type="dxa" w:w="30"/>
          </w:tcMar>
        </w:tcPr>
        <w:p>
          <w:pPr>
            <w:jc w:val="right"/>
          </w:pPr>
          <w:r>
            <w:rPr>
              <w:color w:val="6B7280"/>
              <w:sz w:val="16"/>
              <w:szCs w:val="16"/>
            </w:rPr>
            <w:t xml:space="preserve">Handout 13.3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13.3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13.4 · Opportunities and challenges</w:t>
          </w:r>
        </w:p>
      </w:tc>
      <w:tc>
        <w:tcPr>
          <w:tcW w:type="pct" w:w="1400"/>
          <w:tcMar>
            <w:top w:type="dxa" w:w="-30"/>
            <w:left w:type="dxa" w:w="30"/>
            <w:bottom w:type="dxa" w:w="-30"/>
            <w:right w:type="dxa" w:w="30"/>
          </w:tcMar>
        </w:tcPr>
        <w:p>
          <w:pPr>
            <w:jc w:val="right"/>
          </w:pPr>
          <w:r>
            <w:rPr>
              <w:color w:val="6B7280"/>
              <w:sz w:val="16"/>
              <w:szCs w:val="16"/>
            </w:rPr>
            <w:t xml:space="preserve">Handout 13.4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13.4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13.5 · Why data and capability are strategic assets</w:t>
          </w:r>
        </w:p>
      </w:tc>
      <w:tc>
        <w:tcPr>
          <w:tcW w:type="pct" w:w="1400"/>
          <w:tcMar>
            <w:top w:type="dxa" w:w="-30"/>
            <w:left w:type="dxa" w:w="30"/>
            <w:bottom w:type="dxa" w:w="-30"/>
            <w:right w:type="dxa" w:w="30"/>
          </w:tcMar>
        </w:tcPr>
        <w:p>
          <w:pPr>
            <w:jc w:val="right"/>
          </w:pPr>
          <w:r>
            <w:rPr>
              <w:color w:val="6B7280"/>
              <w:sz w:val="16"/>
              <w:szCs w:val="16"/>
            </w:rPr>
            <w:t xml:space="preserve">Handout 13.5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13.5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13.6 · Business intelligence</w:t>
          </w:r>
        </w:p>
      </w:tc>
      <w:tc>
        <w:tcPr>
          <w:tcW w:type="pct" w:w="1400"/>
          <w:tcMar>
            <w:top w:type="dxa" w:w="-30"/>
            <w:left w:type="dxa" w:w="30"/>
            <w:bottom w:type="dxa" w:w="-30"/>
            <w:right w:type="dxa" w:w="30"/>
          </w:tcMar>
        </w:tcPr>
        <w:p>
          <w:pPr>
            <w:jc w:val="right"/>
          </w:pPr>
          <w:r>
            <w:rPr>
              <w:color w:val="6B7280"/>
              <w:sz w:val="16"/>
              <w:szCs w:val="16"/>
            </w:rPr>
            <w:t xml:space="preserve">Handout 13.6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13.6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13.7 · Extended Example 13A: one number becomes a decision</w:t>
          </w:r>
        </w:p>
      </w:tc>
      <w:tc>
        <w:tcPr>
          <w:tcW w:type="pct" w:w="1400"/>
          <w:tcMar>
            <w:top w:type="dxa" w:w="-30"/>
            <w:left w:type="dxa" w:w="30"/>
            <w:bottom w:type="dxa" w:w="-30"/>
            <w:right w:type="dxa" w:w="30"/>
          </w:tcMar>
        </w:tcPr>
        <w:p>
          <w:pPr>
            <w:jc w:val="right"/>
          </w:pPr>
          <w:r>
            <w:rPr>
              <w:color w:val="6B7280"/>
              <w:sz w:val="16"/>
              <w:szCs w:val="16"/>
            </w:rPr>
            <w:t xml:space="preserve">Handout 13.7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13.7</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4c64747378e04fdef26dd4526451b408c2176a9f.png" Type="http://schemas.openxmlformats.org/officeDocument/2006/relationships/image"/><Relationship Id="rId102" Target="media/582cf5cb456499143d17a1698f8023f785a25c42.png" Type="http://schemas.openxmlformats.org/officeDocument/2006/relationships/image"/><Relationship Id="rId103" Target="media/d0b9bbd5b52dbb6089d29e362008a574c95df8bb.png" Type="http://schemas.openxmlformats.org/officeDocument/2006/relationships/image"/><Relationship Id="rId104" Target="media/41b116a3720e9a0da681022fc5635618a51e9971.png" Type="http://schemas.openxmlformats.org/officeDocument/2006/relationships/image"/><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 Id="rIdHdr7" Target="header7.xml" Type="http://schemas.openxmlformats.org/officeDocument/2006/relationships/header"/><Relationship Id="rIdHdr8" Target="header8.xml" Type="http://schemas.openxmlformats.org/officeDocument/2006/relationships/header"/><Relationship Id="rIdHdr9" Target="header9.xml" Type="http://schemas.openxmlformats.org/officeDocument/2006/relationships/header"/><Relationship Id="rIdHdr10" Target="header10.xml" Type="http://schemas.openxmlformats.org/officeDocument/2006/relationships/header"/><Relationship Id="rIdHdr11" Target="header11.xml" Type="http://schemas.openxmlformats.org/officeDocument/2006/relationships/header"/><Relationship Id="rIdHdr12" Target="header12.xml" Type="http://schemas.openxmlformats.org/officeDocument/2006/relationships/header"/><Relationship Id="rIdHdr13" Target="header13.xml" Type="http://schemas.openxmlformats.org/officeDocument/2006/relationships/header"/><Relationship Id="rIdHdr14" Target="header14.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Book 4 · Chapter 13</dc:title>
  <dc:subject>Summary handouts</dc:subject>
  <cp:category>Student Book</cp:category>
</cp:coreProperties>
</file>