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The four components of a time series</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both techniques can and cannot do   ·   Extended Example 16A: decomposing the Beverage   ·   The four components of a time series   ·   Judging how good a model is</w:t>
            </w:r>
          </w:p>
        </w:tc>
      </w:tr>
    </w:tbl>
    <w:p/>
    <w:p>
      <w:pPr>
        <w:spacing w:before="20" w:after="20" w:line="360" w:lineRule="auto"/>
        <w:ind w:left="200"/>
      </w:pPr>
      <w:r>
        <w:rPr>
          <w:sz w:val="19"/>
          <w:szCs w:val="19"/>
        </w:rPr>
        <w:t xml:space="preserve">Any series measured over time can be thought of as four things added together.</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3637"/>
        <w:gridCol w:w="2107"/>
        <w:gridCol w:w="276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four components of a time series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Component (F.4.r)</w:t>
            </w:r>
          </w:p>
        </w:tc>
        <w:tc>
          <w:tcPr>
            <w:tcW w:type="pct" w:w="1894"/>
            <w:shd w:fill="353A7C" w:val="clear"/>
            <w:tcMar>
              <w:top w:type="dxa" w:w="50"/>
              <w:left w:type="dxa" w:w="110"/>
              <w:bottom w:type="dxa" w:w="50"/>
              <w:right w:type="dxa" w:w="110"/>
            </w:tcMar>
          </w:tcPr>
          <w:p>
            <w:pPr>
              <w:spacing w:before="30" w:after="30"/>
            </w:pPr>
            <w:r>
              <w:rPr>
                <w:b/>
                <w:bCs/>
                <w:color w:val="FFFFFF"/>
                <w:sz w:val="15"/>
                <w:szCs w:val="15"/>
              </w:rPr>
              <w:t xml:space="preserve">What it is</w:t>
            </w:r>
          </w:p>
        </w:tc>
        <w:tc>
          <w:tcPr>
            <w:tcW w:type="pct" w:w="1098"/>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440"/>
            <w:shd w:fill="353A7C" w:val="clear"/>
            <w:tcMar>
              <w:top w:type="dxa" w:w="50"/>
              <w:left w:type="dxa" w:w="110"/>
              <w:bottom w:type="dxa" w:w="50"/>
              <w:right w:type="dxa" w:w="110"/>
            </w:tcMar>
          </w:tcPr>
          <w:p>
            <w:pPr>
              <w:spacing w:before="30" w:after="30"/>
            </w:pPr>
            <w:r>
              <w:rPr>
                <w:b/>
                <w:bCs/>
                <w:color w:val="FFFFFF"/>
                <w:sz w:val="15"/>
                <w:szCs w:val="15"/>
              </w:rPr>
              <w:t xml:space="preserve">In this data</w:t>
            </w:r>
          </w:p>
        </w:tc>
      </w:tr>
      <w:tr>
        <w:tc>
          <w:tcPr>
            <w:tcW w:type="pct" w:w="568"/>
            <w:tcMar>
              <w:top w:type="dxa" w:w="50"/>
              <w:left w:type="dxa" w:w="110"/>
              <w:bottom w:type="dxa" w:w="50"/>
              <w:right w:type="dxa" w:w="110"/>
            </w:tcMar>
          </w:tcPr>
          <w:p>
            <w:pPr>
              <w:spacing w:before="28" w:after="28"/>
            </w:pPr>
            <w:r>
              <w:rPr>
                <w:sz w:val="15"/>
                <w:szCs w:val="15"/>
              </w:rPr>
              <w:t xml:space="preserve">Trend</w:t>
            </w:r>
          </w:p>
        </w:tc>
        <w:tc>
          <w:tcPr>
            <w:tcW w:type="pct" w:w="1894"/>
            <w:tcMar>
              <w:top w:type="dxa" w:w="50"/>
              <w:left w:type="dxa" w:w="110"/>
              <w:bottom w:type="dxa" w:w="50"/>
              <w:right w:type="dxa" w:w="110"/>
            </w:tcMar>
          </w:tcPr>
          <w:p>
            <w:pPr>
              <w:spacing w:before="28" w:after="28"/>
            </w:pPr>
            <w:r>
              <w:rPr>
                <w:sz w:val="15"/>
                <w:szCs w:val="15"/>
              </w:rPr>
              <w:t xml:space="preserve">The long-run direction, over years</w:t>
            </w:r>
          </w:p>
        </w:tc>
        <w:tc>
          <w:tcPr>
            <w:tcW w:type="pct" w:w="109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0"/>
            <w:tcMar>
              <w:top w:type="dxa" w:w="50"/>
              <w:left w:type="dxa" w:w="110"/>
              <w:bottom w:type="dxa" w:w="50"/>
              <w:right w:type="dxa" w:w="110"/>
            </w:tcMar>
          </w:tcPr>
          <w:p>
            <w:pPr>
              <w:spacing w:before="28" w:after="28"/>
            </w:pPr>
            <w:r>
              <w:rPr>
                <w:sz w:val="15"/>
                <w:szCs w:val="15"/>
              </w:rPr>
              <w:t xml:space="preserve">Rising across the two years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Cyclical</w:t>
            </w:r>
          </w:p>
        </w:tc>
        <w:tc>
          <w:tcPr>
            <w:tcW w:type="pct" w:w="1894"/>
            <w:shd w:fill="FBFAF6" w:val="clear"/>
            <w:tcMar>
              <w:top w:type="dxa" w:w="50"/>
              <w:left w:type="dxa" w:w="110"/>
              <w:bottom w:type="dxa" w:w="50"/>
              <w:right w:type="dxa" w:w="110"/>
            </w:tcMar>
          </w:tcPr>
          <w:p>
            <w:pPr>
              <w:spacing w:before="28" w:after="28"/>
            </w:pPr>
            <w:r>
              <w:rPr>
                <w:sz w:val="15"/>
                <w:szCs w:val="15"/>
              </w:rPr>
              <w:t xml:space="preserve">Swings longer than a year, tied to the economy</w:t>
            </w:r>
          </w:p>
        </w:tc>
        <w:tc>
          <w:tcPr>
            <w:tcW w:type="pct" w:w="109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0"/>
            <w:shd w:fill="FBFAF6" w:val="clear"/>
            <w:tcMar>
              <w:top w:type="dxa" w:w="50"/>
              <w:left w:type="dxa" w:w="110"/>
              <w:bottom w:type="dxa" w:w="50"/>
              <w:right w:type="dxa" w:w="110"/>
            </w:tcMar>
          </w:tcPr>
          <w:p>
            <w:pPr>
              <w:spacing w:before="28" w:after="28"/>
            </w:pPr>
            <w:r>
              <w:rPr>
                <w:sz w:val="15"/>
                <w:szCs w:val="15"/>
              </w:rPr>
              <w:t xml:space="preserve">Not visible in only two years of data</w:t>
            </w:r>
          </w:p>
        </w:tc>
      </w:tr>
      <w:tr>
        <w:tc>
          <w:tcPr>
            <w:tcW w:type="pct" w:w="568"/>
            <w:tcMar>
              <w:top w:type="dxa" w:w="50"/>
              <w:left w:type="dxa" w:w="110"/>
              <w:bottom w:type="dxa" w:w="50"/>
              <w:right w:type="dxa" w:w="110"/>
            </w:tcMar>
          </w:tcPr>
          <w:p>
            <w:pPr>
              <w:spacing w:before="28" w:after="28"/>
            </w:pPr>
            <w:r>
              <w:rPr>
                <w:sz w:val="15"/>
                <w:szCs w:val="15"/>
              </w:rPr>
              <w:t xml:space="preserve">Seasonal</w:t>
            </w:r>
          </w:p>
        </w:tc>
        <w:tc>
          <w:tcPr>
            <w:tcW w:type="pct" w:w="1894"/>
            <w:tcMar>
              <w:top w:type="dxa" w:w="50"/>
              <w:left w:type="dxa" w:w="110"/>
              <w:bottom w:type="dxa" w:w="50"/>
              <w:right w:type="dxa" w:w="110"/>
            </w:tcMar>
          </w:tcPr>
          <w:p>
            <w:pPr>
              <w:spacing w:before="28" w:after="28"/>
            </w:pPr>
            <w:r>
              <w:rPr>
                <w:sz w:val="15"/>
                <w:szCs w:val="15"/>
              </w:rPr>
              <w:t xml:space="preserve">A pattern that repeats within the year</w:t>
            </w:r>
          </w:p>
        </w:tc>
        <w:tc>
          <w:tcPr>
            <w:tcW w:type="pct" w:w="109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440"/>
            <w:tcMar>
              <w:top w:type="dxa" w:w="50"/>
              <w:left w:type="dxa" w:w="110"/>
              <w:bottom w:type="dxa" w:w="50"/>
              <w:right w:type="dxa" w:w="110"/>
            </w:tcMar>
          </w:tcPr>
          <w:p>
            <w:pPr>
              <w:spacing w:before="28" w:after="28"/>
            </w:pPr>
            <w:r>
              <w:rPr>
                <w:sz w:val="15"/>
                <w:szCs w:val="15"/>
              </w:rPr>
              <w:t xml:space="preserve">The third quarter peaks in both years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Irregular</w:t>
            </w:r>
          </w:p>
        </w:tc>
        <w:tc>
          <w:tcPr>
            <w:tcW w:type="pct" w:w="1894"/>
            <w:shd w:fill="FBFAF6" w:val="clear"/>
            <w:tcMar>
              <w:top w:type="dxa" w:w="50"/>
              <w:left w:type="dxa" w:w="110"/>
              <w:bottom w:type="dxa" w:w="50"/>
              <w:right w:type="dxa" w:w="110"/>
            </w:tcMar>
          </w:tcPr>
          <w:p>
            <w:pPr>
              <w:spacing w:before="28" w:after="28"/>
            </w:pPr>
            <w:r>
              <w:rPr>
                <w:sz w:val="15"/>
                <w:szCs w:val="15"/>
              </w:rPr>
              <w:t xml:space="preserve">What is left: random, unrepeatable</w:t>
            </w:r>
          </w:p>
        </w:tc>
        <w:tc>
          <w:tcPr>
            <w:tcW w:type="pct" w:w="1098"/>
            <w:shd w:fill="FBFAF6" w:val="clear"/>
            <w:tcMar>
              <w:top w:type="dxa" w:w="50"/>
              <w:left w:type="dxa" w:w="110"/>
              <w:bottom w:type="dxa" w:w="50"/>
              <w:right w:type="dxa" w:w="110"/>
            </w:tcMar>
          </w:tcPr>
          <w:p>
            <w:pPr>
              <w:spacing w:before="28" w:after="28"/>
            </w:pPr>
            <w:r>
              <w:rPr>
                <w:sz w:val="15"/>
                <w:szCs w:val="15"/>
              </w:rPr>
              <w:t xml:space="preserve">A port strike delaying one shipment</w:t>
            </w:r>
          </w:p>
        </w:tc>
        <w:tc>
          <w:tcPr>
            <w:tcW w:type="pct" w:w="1440"/>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regional downturn lasting several years   ·   The third quarter peaks in both years   ·   The small residual after the other three   ·   Hot quarters sell more   ·   Underlying growth as the Gulf market opens</w:t>
            </w:r>
          </w:p>
        </w:tc>
      </w:tr>
    </w:tbl>
    <w:p/>
    <w:p>
      <w:pPr>
        <w:spacing w:before="44" w:after="14"/>
      </w:pPr>
      <w:r>
        <w:rPr>
          <w:b/>
          <w:bCs/>
          <w:color w:val="353A7C"/>
          <w:sz w:val="18"/>
          <w:szCs w:val="18"/>
        </w:rPr>
        <w:t xml:space="preserve">Summary 1</w:t>
      </w:r>
      <w:r>
        <w:rPr>
          <w:color w:val="6B7280"/>
          <w:sz w:val="16"/>
          <w:szCs w:val="16"/>
        </w:rPr>
        <w:t xml:space="preserve">      gaps 8–11</w:t>
      </w:r>
    </w:p>
    <w:p>
      <w:pPr>
        <w:spacing w:before="20" w:after="20" w:line="360" w:lineRule="auto"/>
        <w:ind w:left="200"/>
      </w:pPr>
      <w:r>
        <w:rPr>
          <w:sz w:val="19"/>
          <w:szCs w:val="19"/>
        </w:rPr>
        <w:t xml:space="preserve">Those two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visible ones. </w:t>
      </w:r>
      <w:r>
        <w:rPr>
          <w:sz w:val="19"/>
          <w:szCs w:val="19"/>
        </w:rPr>
        <w:t xml:space="preserve">It needs many years of data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can be told apart from trend at all. </w:t>
      </w:r>
      <w:r>
        <w:rPr>
          <w:sz w:val="19"/>
          <w:szCs w:val="19"/>
        </w:rPr>
        <w:t xml:space="preserve">It is unrepeatable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which is why no model should try to explain it. </w:t>
      </w:r>
      <w:r>
        <w:rPr>
          <w:sz w:val="19"/>
          <w:szCs w:val="19"/>
        </w:rPr>
        <w:t xml:space="preserve">A model that fits the irregular component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overfitting   ·   usually   ·   definition   ·   before   ·   measured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irregular variation   ·   cyclical variation   ·   seasonal variation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trend</w:t>
            </w:r>
          </w:p>
        </w:tc>
        <w:tc>
          <w:tcPr>
            <w:tcW w:type="pct" w:w="2400"/>
            <w:tcMar>
              <w:top w:type="dxa" w:w="50"/>
              <w:left w:type="dxa" w:w="110"/>
              <w:bottom w:type="dxa" w:w="50"/>
              <w:right w:type="dxa" w:w="110"/>
            </w:tcMar>
          </w:tcPr>
          <w:p>
            <w:pPr>
              <w:spacing w:before="26" w:after="26"/>
            </w:pPr>
            <w:r>
              <w:rPr>
                <w:color w:val="232733"/>
                <w:sz w:val="16"/>
                <w:szCs w:val="16"/>
              </w:rPr>
              <w:t xml:space="preserve">الاتجاه العام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cyclical variation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التغير الدوري</w:t>
            </w:r>
          </w:p>
        </w:tc>
      </w:tr>
      <w:tr>
        <w:tc>
          <w:tcPr>
            <w:tcW w:type="pct" w:w="2600"/>
            <w:tcMar>
              <w:top w:type="dxa" w:w="50"/>
              <w:left w:type="dxa" w:w="110"/>
              <w:bottom w:type="dxa" w:w="50"/>
              <w:right w:type="dxa" w:w="110"/>
            </w:tcMar>
          </w:tcPr>
          <w:p>
            <w:pPr>
              <w:spacing w:before="26" w:after="26"/>
            </w:pPr>
            <w:r>
              <w:rPr>
                <w:color w:val="232733"/>
                <w:sz w:val="16"/>
                <w:szCs w:val="16"/>
              </w:rPr>
              <w:t xml:space="preserve">seasonal variation</w:t>
            </w:r>
          </w:p>
        </w:tc>
        <w:tc>
          <w:tcPr>
            <w:tcW w:type="pct" w:w="2400"/>
            <w:tcMar>
              <w:top w:type="dxa" w:w="50"/>
              <w:left w:type="dxa" w:w="110"/>
              <w:bottom w:type="dxa" w:w="50"/>
              <w:right w:type="dxa" w:w="110"/>
            </w:tcMar>
          </w:tcPr>
          <w:p>
            <w:pPr>
              <w:spacing w:before="26" w:after="26"/>
            </w:pPr>
            <w:r>
              <w:rPr>
                <w:color w:val="232733"/>
                <w:sz w:val="16"/>
                <w:szCs w:val="16"/>
              </w:rPr>
              <w:t xml:space="preserve">التغير الموسمي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irregular variation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التغير العشوائي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The four components of a time series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components of a time series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What both techniques can and cannot do</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16A: decomposing the Beverage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Underlying growth as the Gulf market opens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overfitting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regional downturn lasting several years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cyclical 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Hot quarters sell more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seasonal 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 small residual after the other three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Those two are usually the visible ones. It needs many years of data before it can be told apart from trend at all. It is unrepeatable by definition, which is why no model should try to explain it. A model that fits the irregular component is the overfitting.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Separating the components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is a moving average. </w:t>
      </w:r>
      <w:r>
        <w:rPr>
          <w:sz w:val="19"/>
          <w:szCs w:val="19"/>
        </w:rPr>
        <w:t xml:space="preserve">Averaging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quarters removes the seasonal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because every average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one of each quarter. </w:t>
      </w:r>
      <w:r>
        <w:rPr>
          <w:sz w:val="19"/>
          <w:szCs w:val="19"/>
        </w:rPr>
        <w:t xml:space="preserve">Most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variation cancels as well. </w:t>
      </w:r>
      <w:r>
        <w:rPr>
          <w:sz w:val="19"/>
          <w:szCs w:val="19"/>
        </w:rPr>
        <w:t xml:space="preserve">What is left is close to the trend. </w:t>
      </w:r>
      <w:r>
        <w:rPr>
          <w:sz w:val="19"/>
          <w:szCs w:val="19"/>
        </w:rPr>
        <w:t xml:space="preserve">The first panel is the series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its clear peak in the third quarter of each year. </w:t>
      </w:r>
      <w:r>
        <w:rPr>
          <w:sz w:val="19"/>
          <w:szCs w:val="19"/>
        </w:rPr>
        <w:t xml:space="preserve">The second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centred moving average, which rises from 219,750 to 223,662 cases and is far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third shows what is left once the trend is taken out. </w:t>
      </w:r>
      <w:r>
        <w:rPr>
          <w:sz w:val="19"/>
          <w:szCs w:val="19"/>
        </w:rPr>
        <w:t xml:space="preserve">Those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the seasonal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20,003 cases in the third quarter and (13,022) in the first, a swing of 33,025 cases between the best quarter and the worst. </w:t>
      </w:r>
      <w:r>
        <w:rPr>
          <w:sz w:val="19"/>
          <w:szCs w:val="19"/>
        </w:rPr>
        <w:t xml:space="preserve">They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that the four sum to zero, because a season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year's demand rather than adding to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pattern   ·   recorded   ·   contains   ·   adjusted   ·   four-quarter   ·   remainders   ·   consecutive   ·   smoother   ·   redistributes   ·   centred   ·   factors   ·   irregular   ·   standard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التغير العشوائي   ·   irregular variation   ·   seasonal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5"/>
        <w:gridCol w:w="46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6"/>
            <w:tcMar>
              <w:top w:type="dxa" w:w="50"/>
              <w:left w:type="dxa" w:w="110"/>
              <w:bottom w:type="dxa" w:w="50"/>
              <w:right w:type="dxa" w:w="110"/>
            </w:tcMar>
          </w:tcPr>
          <w:p>
            <w:pPr>
              <w:spacing w:before="26" w:after="26"/>
            </w:pPr>
            <w:r>
              <w:rPr>
                <w:color w:val="232733"/>
                <w:sz w:val="16"/>
                <w:szCs w:val="16"/>
              </w:rPr>
              <w:t xml:space="preserve">moving average</w:t>
            </w:r>
          </w:p>
        </w:tc>
        <w:tc>
          <w:tcPr>
            <w:tcW w:type="pct" w:w="2424"/>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576"/>
            <w:shd w:fill="FBFAF6" w:val="clear"/>
            <w:tcMar>
              <w:top w:type="dxa" w:w="50"/>
              <w:left w:type="dxa" w:w="110"/>
              <w:bottom w:type="dxa" w:w="50"/>
              <w:right w:type="dxa" w:w="110"/>
            </w:tcMar>
          </w:tcPr>
          <w:p>
            <w:pPr>
              <w:spacing w:before="26" w:after="26"/>
            </w:pPr>
            <w:r>
              <w:rPr>
                <w:color w:val="232733"/>
                <w:sz w:val="16"/>
                <w:szCs w:val="16"/>
              </w:rPr>
              <w:t xml:space="preserve">seasonal factor</w:t>
            </w:r>
          </w:p>
        </w:tc>
        <w:tc>
          <w:tcPr>
            <w:tcW w:type="pct" w:w="2424"/>
            <w:shd w:fill="FBFAF6" w:val="clear"/>
            <w:tcMar>
              <w:top w:type="dxa" w:w="50"/>
              <w:left w:type="dxa" w:w="110"/>
              <w:bottom w:type="dxa" w:w="50"/>
              <w:right w:type="dxa" w:w="110"/>
            </w:tcMar>
          </w:tcPr>
          <w:p>
            <w:pPr>
              <w:spacing w:before="26" w:after="26"/>
            </w:pPr>
            <w:r>
              <w:rPr>
                <w:color w:val="232733"/>
                <w:sz w:val="16"/>
                <w:szCs w:val="16"/>
              </w:rPr>
              <w:t xml:space="preserve">المعامل الموسمي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Separating the components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smoother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remainders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pattern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factors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contains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adjusted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irregular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redistributes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irregular 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four-quarter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seasonal factor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standard method is a moving average. Averaging four consecutive quarters removes the seasonal pattern, because every average contains one of each quarter. Most of the irregular variation cancels as well. What is left is close to the trend. The first panel is the series as recorded, with its clear peak in the third quarter of each year. The second is the four-quarter centred moving average, which rises from 219,750 to 223,662 cases and is far smoother. The third shows what is left once the trend is taken out. Those remainders are the seasonal factors: 20,003 cases in the third quarter and (13,022) in the first, a swing of 33,025 cases between the best quarter and the worst. They are adjusted so that the four sum to zero, because a season redistributes the year's demand rather than adding to it.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What both techniques can and cannot do</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matters most applies to both, and it is simply stated: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assumes that the pattern in the past will continue.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fitted before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entered the Gulf market will keep predicting the old volumes.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factor from two normal years will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year in which the pattern breaks.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matters most also applies to both. </w:t>
      </w:r>
      <w:r>
        <w:rPr>
          <w:sz w:val="19"/>
          <w:szCs w:val="19"/>
        </w:rPr>
        <w:t xml:space="preserve">Each uses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rather than a chosen few. </w:t>
      </w:r>
      <w:r>
        <w:rPr>
          <w:sz w:val="19"/>
          <w:szCs w:val="19"/>
        </w:rPr>
        <w:t xml:space="preserve">That is why Book 2's high-low method, resting on two points, was described there as a rough approximation.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observation   ·   pattern   ·   survive   ·   technique   ·   benefit   ·   seasonal   ·   regression   ·   limitation   ·   competitor</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Quantifies the relationship   ·   Reveals repeating patterns   ·   Separates mixed effects   ·   Uses every observation</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What both techniques can and cannot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benefit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observation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regression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Quantifies the 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 mixed effects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seasonal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Reveals repeating patterns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survive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limitation that matters most applies to both, and it is simply stated: each technique assumes that the pattern in the past will continue. A regression fitted before a competitor entered the Gulf market will keep predicting the old volumes. A seasonal factor from two normal years will not survive a year in which the pattern breaks. The benefit that matters most also applies to both. Each uses every observation rather than a chosen few. That is why Book 2's high-low method, resting on two points, was described there as a rough approximation.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Judging how good a model is</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0"/>
        <w:gridCol w:w="3088"/>
        <w:gridCol w:w="2856"/>
        <w:gridCol w:w="208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Standard error, goodness of fit and confidence interval</w:t>
            </w:r>
          </w:p>
        </w:tc>
      </w:tr>
      <w:tr>
        <w:tc>
          <w:tcPr>
            <w:tcW w:type="pct" w:w="818"/>
            <w:shd w:fill="353A7C" w:val="clear"/>
            <w:tcMar>
              <w:top w:type="dxa" w:w="50"/>
              <w:left w:type="dxa" w:w="110"/>
              <w:bottom w:type="dxa" w:w="50"/>
              <w:right w:type="dxa" w:w="110"/>
            </w:tcMar>
          </w:tcPr>
          <w:p>
            <w:pPr>
              <w:spacing w:before="30" w:after="30"/>
            </w:pPr>
            <w:r>
              <w:rPr>
                <w:b/>
                <w:bCs/>
                <w:color w:val="FFFFFF"/>
                <w:sz w:val="15"/>
                <w:szCs w:val="15"/>
              </w:rPr>
              <w:t xml:space="preserve">Measure (F.4.t)</w:t>
            </w:r>
          </w:p>
        </w:tc>
        <w:tc>
          <w:tcPr>
            <w:tcW w:type="pct" w:w="1608"/>
            <w:shd w:fill="353A7C" w:val="clear"/>
            <w:tcMar>
              <w:top w:type="dxa" w:w="50"/>
              <w:left w:type="dxa" w:w="110"/>
              <w:bottom w:type="dxa" w:w="50"/>
              <w:right w:type="dxa" w:w="110"/>
            </w:tcMar>
          </w:tcPr>
          <w:p>
            <w:pPr>
              <w:spacing w:before="30" w:after="30"/>
            </w:pPr>
            <w:r>
              <w:rPr>
                <w:b/>
                <w:bCs/>
                <w:color w:val="FFFFFF"/>
                <w:sz w:val="15"/>
                <w:szCs w:val="15"/>
              </w:rPr>
              <w:t xml:space="preserve">What it is</w:t>
            </w:r>
          </w:p>
        </w:tc>
        <w:tc>
          <w:tcPr>
            <w:tcW w:type="pct" w:w="1488"/>
            <w:shd w:fill="353A7C" w:val="clear"/>
            <w:tcMar>
              <w:top w:type="dxa" w:w="50"/>
              <w:left w:type="dxa" w:w="110"/>
              <w:bottom w:type="dxa" w:w="50"/>
              <w:right w:type="dxa" w:w="110"/>
            </w:tcMar>
          </w:tcPr>
          <w:p>
            <w:pPr>
              <w:spacing w:before="30" w:after="30"/>
            </w:pPr>
            <w:r>
              <w:rPr>
                <w:b/>
                <w:bCs/>
                <w:color w:val="FFFFFF"/>
                <w:sz w:val="15"/>
                <w:szCs w:val="15"/>
              </w:rPr>
              <w:t xml:space="preserve">In this model</w:t>
            </w:r>
          </w:p>
        </w:tc>
        <w:tc>
          <w:tcPr>
            <w:tcW w:type="pct" w:w="1086"/>
            <w:shd w:fill="353A7C" w:val="clear"/>
            <w:tcMar>
              <w:top w:type="dxa" w:w="50"/>
              <w:left w:type="dxa" w:w="110"/>
              <w:bottom w:type="dxa" w:w="50"/>
              <w:right w:type="dxa" w:w="110"/>
            </w:tcMar>
          </w:tcPr>
          <w:p>
            <w:pPr>
              <w:spacing w:before="30" w:after="30"/>
            </w:pPr>
            <w:r>
              <w:rPr>
                <w:b/>
                <w:bCs/>
                <w:color w:val="FFFFFF"/>
                <w:sz w:val="15"/>
                <w:szCs w:val="15"/>
              </w:rPr>
              <w:t xml:space="preserve">Note</w:t>
            </w:r>
          </w:p>
        </w:tc>
      </w:tr>
      <w:tr>
        <w:tc>
          <w:tcPr>
            <w:tcW w:type="pct" w:w="818"/>
            <w:tcMar>
              <w:top w:type="dxa" w:w="50"/>
              <w:left w:type="dxa" w:w="110"/>
              <w:bottom w:type="dxa" w:w="50"/>
              <w:right w:type="dxa" w:w="110"/>
            </w:tcMar>
          </w:tcPr>
          <w:p>
            <w:pPr>
              <w:spacing w:before="28" w:after="28"/>
            </w:pPr>
            <w:r>
              <w:rPr>
                <w:sz w:val="15"/>
                <w:szCs w:val="15"/>
              </w:rPr>
              <w:t xml:space="preserve">Standard error of the estimate</w:t>
            </w:r>
          </w:p>
        </w:tc>
        <w:tc>
          <w:tcPr>
            <w:tcW w:type="pct" w:w="1608"/>
            <w:tcMar>
              <w:top w:type="dxa" w:w="50"/>
              <w:left w:type="dxa" w:w="110"/>
              <w:bottom w:type="dxa" w:w="50"/>
              <w:right w:type="dxa" w:w="110"/>
            </w:tcMar>
          </w:tcPr>
          <w:p>
            <w:pPr>
              <w:spacing w:before="28" w:after="28"/>
            </w:pPr>
            <w:r>
              <w:rPr>
                <w:sz w:val="15"/>
                <w:szCs w:val="15"/>
              </w:rPr>
              <w:t xml:space="preserve">The typical distance of an observation from the fitted line</w:t>
            </w:r>
          </w:p>
        </w:tc>
        <w:tc>
          <w:tcPr>
            <w:tcW w:type="pct" w:w="148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086"/>
            <w:tcMar>
              <w:top w:type="dxa" w:w="50"/>
              <w:left w:type="dxa" w:w="110"/>
              <w:bottom w:type="dxa" w:w="50"/>
              <w:right w:type="dxa" w:w="110"/>
            </w:tcMar>
          </w:tcPr>
          <w:p>
            <w:pPr>
              <w:spacing w:before="28" w:after="28"/>
            </w:pPr>
            <w:r>
              <w:rPr>
                <w:sz w:val="15"/>
                <w:szCs w:val="15"/>
              </w:rPr>
              <w:t xml:space="preserve">Smaller is better</w:t>
            </w:r>
          </w:p>
        </w:tc>
      </w:tr>
      <w:tr>
        <w:tc>
          <w:tcPr>
            <w:tcW w:type="pct" w:w="818"/>
            <w:shd w:fill="FBFAF6" w:val="clear"/>
            <w:tcMar>
              <w:top w:type="dxa" w:w="50"/>
              <w:left w:type="dxa" w:w="110"/>
              <w:bottom w:type="dxa" w:w="50"/>
              <w:right w:type="dxa" w:w="110"/>
            </w:tcMar>
          </w:tcPr>
          <w:p>
            <w:pPr>
              <w:spacing w:before="28" w:after="28"/>
            </w:pPr>
            <w:r>
              <w:rPr>
                <w:sz w:val="15"/>
                <w:szCs w:val="15"/>
              </w:rPr>
              <w:t xml:space="preserve">Goodness of fit</w:t>
            </w:r>
          </w:p>
        </w:tc>
        <w:tc>
          <w:tcPr>
            <w:tcW w:type="pct" w:w="160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488"/>
            <w:shd w:fill="FBFAF6" w:val="clear"/>
            <w:tcMar>
              <w:top w:type="dxa" w:w="50"/>
              <w:left w:type="dxa" w:w="110"/>
              <w:bottom w:type="dxa" w:w="50"/>
              <w:right w:type="dxa" w:w="110"/>
            </w:tcMar>
          </w:tcPr>
          <w:p>
            <w:pPr>
              <w:spacing w:before="28" w:after="28"/>
            </w:pPr>
            <w:r>
              <w:rPr>
                <w:sz w:val="15"/>
                <w:szCs w:val="15"/>
              </w:rPr>
              <w:t xml:space="preserve">R squared is the usual measure, 0.9989 here</w:t>
            </w:r>
          </w:p>
        </w:tc>
        <w:tc>
          <w:tcPr>
            <w:tcW w:type="pct" w:w="1086"/>
            <w:shd w:fill="FBFAF6" w:val="clear"/>
            <w:tcMar>
              <w:top w:type="dxa" w:w="50"/>
              <w:left w:type="dxa" w:w="110"/>
              <w:bottom w:type="dxa" w:w="50"/>
              <w:right w:type="dxa" w:w="110"/>
            </w:tcMar>
          </w:tcPr>
          <w:p>
            <w:pPr>
              <w:spacing w:before="28" w:after="28"/>
            </w:pPr>
            <w:r>
              <w:rPr>
                <w:sz w:val="15"/>
                <w:szCs w:val="15"/>
              </w:rPr>
              <w:t xml:space="preserve">High fit with few observations invites caution</w:t>
            </w:r>
          </w:p>
        </w:tc>
      </w:tr>
      <w:tr>
        <w:tc>
          <w:tcPr>
            <w:tcW w:type="pct" w:w="818"/>
            <w:tcMar>
              <w:top w:type="dxa" w:w="50"/>
              <w:left w:type="dxa" w:w="110"/>
              <w:bottom w:type="dxa" w:w="50"/>
              <w:right w:type="dxa" w:w="110"/>
            </w:tcMar>
          </w:tcPr>
          <w:p>
            <w:pPr>
              <w:spacing w:before="28" w:after="28"/>
            </w:pPr>
            <w:r>
              <w:rPr>
                <w:sz w:val="15"/>
                <w:szCs w:val="15"/>
              </w:rPr>
              <w:t xml:space="preserve">Confidence interval</w:t>
            </w:r>
          </w:p>
        </w:tc>
        <w:tc>
          <w:tcPr>
            <w:tcW w:type="pct" w:w="1608"/>
            <w:tcMar>
              <w:top w:type="dxa" w:w="50"/>
              <w:left w:type="dxa" w:w="110"/>
              <w:bottom w:type="dxa" w:w="50"/>
              <w:right w:type="dxa" w:w="110"/>
            </w:tcMar>
          </w:tcPr>
          <w:p>
            <w:pPr>
              <w:spacing w:before="28" w:after="28"/>
            </w:pPr>
            <w:r>
              <w:rPr>
                <w:sz w:val="15"/>
                <w:szCs w:val="15"/>
              </w:rPr>
              <w:t xml:space="preserve">A range around the estimate, with a stated level of confidence</w:t>
            </w:r>
          </w:p>
        </w:tc>
        <w:tc>
          <w:tcPr>
            <w:tcW w:type="pct" w:w="1488"/>
            <w:tcMar>
              <w:top w:type="dxa" w:w="50"/>
              <w:left w:type="dxa" w:w="110"/>
              <w:bottom w:type="dxa" w:w="50"/>
              <w:right w:type="dxa" w:w="110"/>
            </w:tcMar>
          </w:tcPr>
          <w:p>
            <w:pPr>
              <w:spacing w:before="28" w:after="28"/>
            </w:pPr>
            <w:r>
              <w:rPr>
                <w:sz w:val="15"/>
                <w:szCs w:val="15"/>
              </w:rPr>
              <w:t xml:space="preserve">The estimate plus or minus a multiple of the standard error</w:t>
            </w:r>
          </w:p>
        </w:tc>
        <w:tc>
          <w:tcPr>
            <w:tcW w:type="pct" w:w="1086"/>
            <w:shd w:fill="FFFFFF" w:val="clear"/>
            <w:tcMar>
              <w:top w:type="dxa" w:w="50"/>
              <w:left w:type="dxa" w:w="110"/>
              <w:bottom w:type="dxa" w:w="50"/>
              <w:right w:type="dxa" w:w="110"/>
            </w:tcMar>
          </w:tcPr>
          <w:p>
            <w:pPr>
              <w:spacing w:before="46" w:after="46"/>
            </w:pPr>
            <w:r>
              <w:rPr>
                <w:b/>
                <w:bCs/>
                <w:color w:val="8186EF"/>
                <w:sz w:val="14"/>
                <w:szCs w:val="14"/>
              </w:rPr>
              <w:t xml:space="preserve">(3)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 the units of the result, so 555 cases here   ·   A wider interval is a more honest one   ·   How closely the model matches the observed data   ·   R squared is the usual measure, 0.9989 here</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The standard error of the estimate is the typical distance of an observation from the fitted line,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the units of the thing being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model it is 555 cases, which is readable directly: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typically wrong by about that much. </w:t>
      </w:r>
      <w:r>
        <w:rPr>
          <w:sz w:val="19"/>
          <w:szCs w:val="19"/>
        </w:rPr>
        <w:t xml:space="preserve">A confidence interval turns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estimate into a range, by adding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multiple of the standard error. </w:t>
      </w:r>
      <w:r>
        <w:rPr>
          <w:sz w:val="19"/>
          <w:szCs w:val="19"/>
        </w:rPr>
        <w:t xml:space="preserve">It also states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one is that the true value lies inside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confident   ·   predicted   ·   subtracting   ·   single   ·   estimate   ·   expressed   ·   prediction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narrow interval is not a better one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A confidence interval is honest about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 measure of skill. </w:t>
      </w:r>
      <w:r>
        <w:rPr>
          <w:sz w:val="19"/>
          <w:szCs w:val="19"/>
        </w:rPr>
        <w:t xml:space="preserve">An interval that is narrow because the model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small sample is worse than a wide one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the data can actually support.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uncertainty   ·   reflects   ·   overfits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confidence interval   ·   moving average   ·   standard error of the estimate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goodness of fit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جودة المطابقة</w:t>
            </w:r>
          </w:p>
        </w:tc>
      </w:tr>
      <w:tr>
        <w:tc>
          <w:tcPr>
            <w:tcW w:type="pct" w:w="2600"/>
            <w:tcMar>
              <w:top w:type="dxa" w:w="50"/>
              <w:left w:type="dxa" w:w="110"/>
              <w:bottom w:type="dxa" w:w="50"/>
              <w:right w:type="dxa" w:w="110"/>
            </w:tcMar>
          </w:tcPr>
          <w:p>
            <w:pPr>
              <w:spacing w:before="26" w:after="26"/>
            </w:pPr>
            <w:r>
              <w:rPr>
                <w:color w:val="232733"/>
                <w:sz w:val="16"/>
                <w:szCs w:val="16"/>
              </w:rPr>
              <w:t xml:space="preserve">confidence interval</w:t>
            </w:r>
          </w:p>
        </w:tc>
        <w:tc>
          <w:tcPr>
            <w:tcW w:type="pct" w:w="2400"/>
            <w:tcMar>
              <w:top w:type="dxa" w:w="50"/>
              <w:left w:type="dxa" w:w="110"/>
              <w:bottom w:type="dxa" w:w="50"/>
              <w:right w:type="dxa" w:w="110"/>
            </w:tcMar>
          </w:tcPr>
          <w:p>
            <w:pPr>
              <w:spacing w:before="26" w:after="26"/>
            </w:pPr>
            <w:r>
              <w:rPr>
                <w:color w:val="232733"/>
                <w:sz w:val="16"/>
                <w:szCs w:val="16"/>
              </w:rPr>
              <w:t xml:space="preserve">فترة الثقة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Judging how good a model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 the units of the result, so 555 cases here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subtracting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How closely the model matches the observed data</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confident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wider interval is a more honest one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uncertainty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expressed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predicted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reflects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error of the 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prediction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confidence interval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single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standard error of the estimate is the typical distance of an observation from the fitted line, expressed in the units of the thing being predicted. For the Beverages model it is 555 cases, which is readable directly: a prediction is typically wrong by about that much. A confidence interval turns a single estimate into a range, by adding and subtracting a multiple of the standard error. It also states how confident one is that the true value lies inside it.</w:t>
      </w:r>
    </w:p>
    <w:p>
      <w:pPr>
        <w:spacing w:before="20" w:after="20"/>
        <w:ind w:left="240" w:hanging="240"/>
      </w:pPr>
      <w:r>
        <w:rPr>
          <w:b/>
          <w:bCs/>
          <w:color w:val="353A7C"/>
          <w:sz w:val="15"/>
          <w:szCs w:val="15"/>
        </w:rPr>
        <w:t xml:space="preserve">Summary 2   </w:t>
      </w:r>
      <w:r>
        <w:rPr>
          <w:color w:val="6B7280"/>
          <w:sz w:val="15"/>
          <w:szCs w:val="15"/>
        </w:rPr>
        <w:t xml:space="preserve">A confidence interval is honest about uncertainty, not a measure of skill. An interval that is narrow because the model overfits a small sample is worse than a wide one that reflects what the data can actually support.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Exploratory data analysis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Its value is that the eye finds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summary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reports.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peak is visible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before any moving average is computed, and so are the outliers and the gaps. </w:t>
      </w:r>
      <w:r>
        <w:rPr>
          <w:sz w:val="19"/>
          <w:szCs w:val="19"/>
        </w:rPr>
        <w:t xml:space="preserve">It also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against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A model fitted without looking can produce a respectable R squared on data that contains an obvious impossibility, and nobody will notice until someone acts on the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statistic   ·   third-quarter   ·   opposite   ·   things   ·   immediately   ·   protects   ·   computed</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the periods   ·   exploratory data analysis   ·   Ask what is missing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0"/>
        <w:gridCol w:w="48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5"/>
            <w:tcMar>
              <w:top w:type="dxa" w:w="50"/>
              <w:left w:type="dxa" w:w="110"/>
              <w:bottom w:type="dxa" w:w="50"/>
              <w:right w:type="dxa" w:w="110"/>
            </w:tcMar>
          </w:tcPr>
          <w:p>
            <w:pPr>
              <w:spacing w:before="26" w:after="26"/>
            </w:pPr>
            <w:r>
              <w:rPr>
                <w:color w:val="232733"/>
                <w:sz w:val="16"/>
                <w:szCs w:val="16"/>
              </w:rPr>
              <w:t xml:space="preserve">exploratory data analysis</w:t>
            </w:r>
          </w:p>
        </w:tc>
        <w:tc>
          <w:tcPr>
            <w:tcW w:type="pct" w:w="2505"/>
            <w:tcMar>
              <w:top w:type="dxa" w:w="50"/>
              <w:left w:type="dxa" w:w="110"/>
              <w:bottom w:type="dxa" w:w="50"/>
              <w:right w:type="dxa" w:w="110"/>
            </w:tcMar>
          </w:tcPr>
          <w:p>
            <w:pPr>
              <w:spacing w:before="26" w:after="26"/>
            </w:pPr>
            <w:r>
              <w:rPr>
                <w:color w:val="232733"/>
                <w:sz w:val="16"/>
                <w:szCs w:val="16"/>
              </w:rPr>
              <w:t xml:space="preserve">التحليل الاستكشافي للبيانات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Exploratory data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statistic</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third-quarter</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 the periods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immediately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Ask what is missing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Its value is that the eye finds things no summary statistic reports. The third-quarter peak is visible immediately, before any moving average is computed, and so are the outliers and the gaps. It also protects against the opposite error. A model fitted without looking can produce a respectable R squared on data that contains an obvious impossibility, and nobody will notice until someone acts on the answer.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Extended Example 16A: decomposing the Beverages series</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performs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then says what it is and is not good for.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moving average is taken, then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that it lines up with an actual quarter. </w:t>
      </w:r>
      <w:r>
        <w:rPr>
          <w:sz w:val="19"/>
          <w:szCs w:val="19"/>
        </w:rPr>
        <w:t xml:space="preserve">With 8 observations this gives 4 trend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2027 Q3 to 2028 Q2. </w:t>
      </w:r>
      <w:r>
        <w:rPr>
          <w:sz w:val="19"/>
          <w:szCs w:val="19"/>
        </w:rPr>
        <w:t xml:space="preserve">The two quarters at each end have no trend value, which is a real cost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trend from the actual leaves the seasonal and irregular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together. </w:t>
      </w:r>
      <w:r>
        <w:rPr>
          <w:sz w:val="19"/>
          <w:szCs w:val="19"/>
        </w:rPr>
        <w:t xml:space="preserve">In 2027 Q3, actual demand was 240,400 cases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trend of 219,750,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20,650. </w:t>
      </w:r>
      <w:r>
        <w:rPr>
          <w:sz w:val="19"/>
          <w:szCs w:val="19"/>
        </w:rPr>
        <w:t xml:space="preserve">Where a quarter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more than once, averaging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cancels most of the irregular part and leaves the seasonal factor.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four so they sum to zero gives (13,022), 691, 20,003 and (7,672) for the first to the fourth quarter.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four-quarter   ·   appears   ·   decomposition   ·   against   ·   Adjusting   ·   average   ·   method   ·   leaving   ·   remainders   ·   Subtracting   ·   components   ·   values   ·   centred</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The factors say how much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peak is simply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manager who congratulates the sales team on a 20,003-case rise in the third quarter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them on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same manager should not treat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fall as a failure. </w:t>
      </w:r>
      <w:r>
        <w:rPr>
          <w:sz w:val="19"/>
          <w:szCs w:val="19"/>
        </w:rPr>
        <w:t xml:space="preserve">Two years is very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Each seasonal factor here rests on two observations, so a single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quarter moves it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cyclical component cannot be seen at all. </w:t>
      </w:r>
      <w:r>
        <w:rPr>
          <w:sz w:val="19"/>
          <w:szCs w:val="19"/>
        </w:rPr>
        <w:t xml:space="preserve">The honest statement is a direction and a rough size, not a precise forecast.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congratulating   ·   season   ·   little   ·   first-quarter   ·   weather   ·   third-quarter   ·   substantially   ·   unusual   ·   manager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components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components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is described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component?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The long-run direction over years</w:t>
            </w:r>
          </w:p>
        </w:tc>
        <w:tc>
          <w:tcPr>
            <w:tcW w:type="pct" w:w="758"/>
            <w:tcMar>
              <w:top w:type="dxa" w:w="50"/>
              <w:left w:type="dxa" w:w="110"/>
              <w:bottom w:type="dxa" w:w="50"/>
              <w:right w:type="dxa" w:w="110"/>
            </w:tcMar>
          </w:tcPr>
          <w:p>
            <w:pPr>
              <w:spacing w:before="28" w:after="28"/>
            </w:pPr>
            <w:r>
              <w:rPr>
                <w:sz w:val="15"/>
                <w:szCs w:val="15"/>
              </w:rPr>
              <w:t xml:space="preserve">Trend</w:t>
            </w:r>
          </w:p>
        </w:tc>
        <w:tc>
          <w:tcPr>
            <w:tcW w:type="pct" w:w="2200"/>
            <w:tcMar>
              <w:top w:type="dxa" w:w="50"/>
              <w:left w:type="dxa" w:w="110"/>
              <w:bottom w:type="dxa" w:w="50"/>
              <w:right w:type="dxa" w:w="110"/>
            </w:tcMar>
          </w:tcPr>
          <w:p>
            <w:pPr>
              <w:spacing w:before="28" w:after="28"/>
            </w:pPr>
            <w:r>
              <w:rPr>
                <w:sz w:val="15"/>
                <w:szCs w:val="15"/>
              </w:rPr>
              <w:t xml:space="preserve">It is the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growth or decline, visible only across years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 pattern repeating within the year</w:t>
            </w:r>
          </w:p>
        </w:tc>
        <w:tc>
          <w:tcPr>
            <w:tcW w:type="pct" w:w="758"/>
            <w:shd w:fill="FBFAF6" w:val="clear"/>
            <w:tcMar>
              <w:top w:type="dxa" w:w="50"/>
              <w:left w:type="dxa" w:w="110"/>
              <w:bottom w:type="dxa" w:w="50"/>
              <w:right w:type="dxa" w:w="110"/>
            </w:tcMar>
          </w:tcPr>
          <w:p>
            <w:pPr>
              <w:spacing w:before="28" w:after="28"/>
            </w:pPr>
            <w:r>
              <w:rPr>
                <w:sz w:val="15"/>
                <w:szCs w:val="15"/>
              </w:rPr>
              <w:t xml:space="preserve">Seasonal</w:t>
            </w:r>
          </w:p>
        </w:tc>
        <w:tc>
          <w:tcPr>
            <w:tcW w:type="pct" w:w="2200"/>
            <w:shd w:fill="FBFAF6" w:val="clear"/>
            <w:tcMar>
              <w:top w:type="dxa" w:w="50"/>
              <w:left w:type="dxa" w:w="110"/>
              <w:bottom w:type="dxa" w:w="50"/>
              <w:right w:type="dxa" w:w="110"/>
            </w:tcMar>
          </w:tcPr>
          <w:p>
            <w:pPr>
              <w:spacing w:before="28" w:after="28"/>
            </w:pPr>
            <w:r>
              <w:rPr>
                <w:sz w:val="15"/>
                <w:szCs w:val="15"/>
              </w:rPr>
              <w:t xml:space="preserve">Seasonal variation returns at the same point each year, so the third quarter peaks in both years here</w:t>
            </w:r>
          </w:p>
        </w:tc>
      </w:tr>
      <w:tr>
        <w:tc>
          <w:tcPr>
            <w:tcW w:type="pct" w:w="2042"/>
            <w:tcMar>
              <w:top w:type="dxa" w:w="50"/>
              <w:left w:type="dxa" w:w="110"/>
              <w:bottom w:type="dxa" w:w="50"/>
              <w:right w:type="dxa" w:w="110"/>
            </w:tcMar>
          </w:tcPr>
          <w:p>
            <w:pPr>
              <w:spacing w:before="28" w:after="28"/>
            </w:pPr>
            <w:r>
              <w:rPr>
                <w:sz w:val="15"/>
                <w:szCs w:val="15"/>
              </w:rPr>
              <w:t xml:space="preserve">Swings longer than a year, tied to the economy</w:t>
            </w:r>
          </w:p>
        </w:tc>
        <w:tc>
          <w:tcPr>
            <w:tcW w:type="pct" w:w="758"/>
            <w:tcMar>
              <w:top w:type="dxa" w:w="50"/>
              <w:left w:type="dxa" w:w="110"/>
              <w:bottom w:type="dxa" w:w="50"/>
              <w:right w:type="dxa" w:w="110"/>
            </w:tcMar>
          </w:tcPr>
          <w:p>
            <w:pPr>
              <w:spacing w:before="28" w:after="28"/>
            </w:pPr>
            <w:r>
              <w:rPr>
                <w:sz w:val="15"/>
                <w:szCs w:val="15"/>
              </w:rPr>
              <w:t xml:space="preserve">Cyclical variation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What is left after the other three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200"/>
            <w:shd w:fill="FBFAF6" w:val="clear"/>
            <w:tcMar>
              <w:top w:type="dxa" w:w="50"/>
              <w:left w:type="dxa" w:w="110"/>
              <w:bottom w:type="dxa" w:w="50"/>
              <w:right w:type="dxa" w:w="110"/>
            </w:tcMar>
          </w:tcPr>
          <w:p>
            <w:pPr>
              <w:spacing w:before="28" w:after="28"/>
            </w:pPr>
            <w:r>
              <w:rPr>
                <w:sz w:val="15"/>
                <w:szCs w:val="15"/>
              </w:rPr>
              <w:t xml:space="preserve">Random and unrepeatable, which is why no model should try to fit 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Irregular variation   ·   And two years of data cannot show it   ·   The third quarter peaking every year   ·   underlying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24–25</w:t>
      </w:r>
    </w:p>
    <w:p>
      <w:pPr>
        <w:spacing w:before="20" w:after="20" w:line="360" w:lineRule="auto"/>
        <w:ind w:left="200"/>
      </w:pPr>
      <w:r>
        <w:rPr>
          <w:sz w:val="19"/>
          <w:szCs w:val="19"/>
        </w:rPr>
        <w:t xml:space="preserve">Trend rises from 219,750 to 223,662 cases across the 4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quarters.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factors (13,022), 691, 20,003, (7,672) sum to zero. </w:t>
      </w:r>
      <w:r>
        <w:rPr>
          <w:sz w:val="19"/>
          <w:szCs w:val="19"/>
        </w:rPr>
        <w:t xml:space="preserve">The swing from worst quarter to best is 33,025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computed   ·   statement   ·   Seasonal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names a movement and asks which component it is. </w:t>
      </w:r>
      <w:r>
        <w:rPr>
          <w:sz w:val="19"/>
          <w:szCs w:val="19"/>
        </w:rPr>
        <w:t xml:space="preserve">Ask how long it lasts: within a year is seasonal, over years is trend,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years and tied to the economy is cyclical, and once only is irregular.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precise   ·   question   ·   several</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91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19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Irregular   ·   Trend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trend   ·   moving average   ·   seasonal factor</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Extended Example 16A: decomposing the Beverages series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decomposition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weather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four-quarter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first-quarter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centred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unusual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Subtracting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underlying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And two years of data cannot show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Irregular 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leaving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computed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Seasonal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remainders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Adjusting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several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third-quarter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Irregular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season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congratulating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moving average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performs the decomposition and then says what it is and is not good for. A four-quarter moving average is taken, then centred so that it lines up with an actual quarter. With 8 observations this gives 4 trend values, from 2027 Q3 to 2028 Q2. The two quarters at each end have no trend value, which is a real cost of the method. Subtracting the trend from the actual leaves the seasonal and irregular components together. In 2027 Q3, actual demand was 240,400 cases against a trend of 219,750, leaving 20,650. Where a quarter appears more than once, averaging its remainders cancels most of the irregular part and leaves the seasonal factor. Adjusting the four so they sum to zero gives (13,022), 691, 20,003 and (7,672) for the first to the fourth quarter.</w:t>
      </w:r>
    </w:p>
    <w:p>
      <w:pPr>
        <w:spacing w:before="20" w:after="20"/>
        <w:ind w:left="240" w:hanging="240"/>
      </w:pPr>
      <w:r>
        <w:rPr>
          <w:b/>
          <w:bCs/>
          <w:color w:val="353A7C"/>
          <w:sz w:val="15"/>
          <w:szCs w:val="15"/>
        </w:rPr>
        <w:t xml:space="preserve">Summary 2   </w:t>
      </w:r>
      <w:r>
        <w:rPr>
          <w:color w:val="6B7280"/>
          <w:sz w:val="15"/>
          <w:szCs w:val="15"/>
        </w:rPr>
        <w:t xml:space="preserve">The factors say how much of the third-quarter peak is simply the season. A manager who congratulates the sales team on a 20,003-case rise in the third quarter is congratulating them on the weather. The same manager should not treat the first-quarter fall as a failure. Two years is very little. Each seasonal factor here rests on two observations, so a single unusual quarter moves it substantially. The cyclical component cannot be seen at all. The honest statement is a direction and a rough size, not a precise forecast.</w:t>
      </w:r>
    </w:p>
    <w:p>
      <w:pPr>
        <w:spacing w:before="20" w:after="20"/>
        <w:ind w:left="240" w:hanging="240"/>
      </w:pPr>
      <w:r>
        <w:rPr>
          <w:b/>
          <w:bCs/>
          <w:color w:val="353A7C"/>
          <w:sz w:val="15"/>
          <w:szCs w:val="15"/>
        </w:rPr>
        <w:t xml:space="preserve">Summary 3   </w:t>
      </w:r>
      <w:r>
        <w:rPr>
          <w:color w:val="6B7280"/>
          <w:sz w:val="15"/>
          <w:szCs w:val="15"/>
        </w:rPr>
        <w:t xml:space="preserve">Trend rises from 219,750 to 223,662 cases across the 4 computed quarters. Seasonal factors (13,022), 691, 20,003, (7,672) sum to zero. The swing from worst quarter to best is 33,025 cases.</w:t>
      </w:r>
    </w:p>
    <w:p>
      <w:pPr>
        <w:spacing w:before="20" w:after="20"/>
        <w:ind w:left="240" w:hanging="240"/>
      </w:pPr>
      <w:r>
        <w:rPr>
          <w:b/>
          <w:bCs/>
          <w:color w:val="353A7C"/>
          <w:sz w:val="15"/>
          <w:szCs w:val="15"/>
        </w:rPr>
        <w:t xml:space="preserve">Summary 4   </w:t>
      </w:r>
      <w:r>
        <w:rPr>
          <w:color w:val="6B7280"/>
          <w:sz w:val="15"/>
          <w:szCs w:val="15"/>
        </w:rPr>
        <w:t xml:space="preserve">A question names a movement and asks which component it is. Ask how long it lasts: within a year is seasonal, over years is trend, several years and tied to the economy is cyclical, and once only is irregular.</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The four components of a time series</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Separating the components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What both techniques can and cannot do</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Judging how good a model is</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Exploratory data analysis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Extended Example 16A: decomposing the Beverages series</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318280b8a9768f497b3b5707bccc83f9ecf1dc0.png" Type="http://schemas.openxmlformats.org/officeDocument/2006/relationships/image"/><Relationship Id="rId102" Target="media/fa8068931603670ddbe7142003a19fd09d4b41b6.png" Type="http://schemas.openxmlformats.org/officeDocument/2006/relationships/image"/><Relationship Id="rId103" Target="media/eba3f7db59e4ccaa6cba17e56ed1e4dd60d26a0a.png" Type="http://schemas.openxmlformats.org/officeDocument/2006/relationships/image"/><Relationship Id="rId104" Target="media/ebc316a5b81f461abaf55ab86bd7b462e5ff76c6.png" Type="http://schemas.openxmlformats.org/officeDocument/2006/relationships/image"/><Relationship Id="rId105" Target="media/ea0154f440f001b9c0f79045a620bcd20c02854f.png" Type="http://schemas.openxmlformats.org/officeDocument/2006/relationships/image"/><Relationship Id="rId106" Target="media/7dff502657a3847920d2d26ae06d6d3ded624574.png" Type="http://schemas.openxmlformats.org/officeDocument/2006/relationships/image"/><Relationship Id="rId107" Target="media/41180500b7bb299ace4210c8fc9a5db0c528b47e.png" Type="http://schemas.openxmlformats.org/officeDocument/2006/relationships/image"/><Relationship Id="rId108" Target="media/ddb8ab7c35525d2a116eaba449b7ba60d143dad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16</dc:title>
  <dc:subject>Summary handouts</dc:subject>
  <cp:category>Student Book</cp:category>
</cp:coreProperties>
</file>