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18.1  Choosing the form</w:t>
            </w:r>
          </w:p>
          <w:p>
            <w:pPr>
              <w:spacing w:before="0" w:after="46"/>
            </w:pPr>
            <w:r>
              <w:rPr>
                <w:color w:val="E8EAF6"/>
                <w:sz w:val="16"/>
                <w:szCs w:val="16"/>
              </w:rPr>
              <w:t xml:space="preserve">Chapter 18 · section 18.1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18,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26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2634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Extended Example 18A: presenting the Gulf deci   ·   Design practices worth following   ·   What a picture can and cannot do   ·   How a true chart misleads</w:t>
            </w:r>
          </w:p>
        </w:tc>
      </w:tr>
    </w:tbl>
    <w:p/>
    <w:p>
      <w:pPr>
        <w:spacing w:before="44" w:after="14"/>
      </w:pPr>
      <w:r>
        <w:rPr>
          <w:b/>
          <w:bCs/>
          <w:color w:val="353A7C"/>
          <w:sz w:val="18"/>
          <w:szCs w:val="18"/>
        </w:rPr>
        <w:t xml:space="preserve">Summary 1</w:t>
      </w:r>
      <w:r>
        <w:rPr>
          <w:color w:val="6B7280"/>
          <w:sz w:val="16"/>
          <w:szCs w:val="16"/>
        </w:rPr>
        <w:t xml:space="preserve">      gaps 4–5</w:t>
      </w:r>
    </w:p>
    <w:p>
      <w:pPr>
        <w:spacing w:before="20" w:after="20" w:line="360" w:lineRule="auto"/>
        <w:ind w:left="200"/>
      </w:pPr>
      <w:r>
        <w:rPr>
          <w:sz w:val="19"/>
          <w:szCs w:val="19"/>
        </w:rPr>
        <w:t xml:space="preserve">The choice of chart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what the reader must see, not from what is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in the software.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available   ·   follows   ·   measures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Choosing the form of a visualization</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What the reader must see (F.4.cc)</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Best form</w:t>
            </w:r>
          </w:p>
        </w:tc>
      </w:tr>
      <w:tr>
        <w:tc>
          <w:tcPr>
            <w:tcW w:type="pct" w:w="2600"/>
            <w:tcMar>
              <w:top w:type="dxa" w:w="50"/>
              <w:left w:type="dxa" w:w="110"/>
              <w:bottom w:type="dxa" w:w="50"/>
              <w:right w:type="dxa" w:w="110"/>
            </w:tcMar>
          </w:tcPr>
          <w:p>
            <w:pPr>
              <w:spacing w:before="28" w:after="28"/>
            </w:pPr>
            <w:r>
              <w:rPr>
                <w:sz w:val="15"/>
                <w:szCs w:val="15"/>
              </w:rPr>
              <w:t xml:space="preserve">A comparison across categories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 trend over time</w:t>
            </w:r>
          </w:p>
        </w:tc>
        <w:tc>
          <w:tcPr>
            <w:tcW w:type="pct" w:w="2400"/>
            <w:shd w:fill="FBFAF6" w:val="clear"/>
            <w:tcMar>
              <w:top w:type="dxa" w:w="50"/>
              <w:left w:type="dxa" w:w="110"/>
              <w:bottom w:type="dxa" w:w="50"/>
              <w:right w:type="dxa" w:w="110"/>
            </w:tcMar>
          </w:tcPr>
          <w:p>
            <w:pPr>
              <w:spacing w:before="28" w:after="28"/>
            </w:pPr>
            <w:r>
              <w:rPr>
                <w:sz w:val="15"/>
                <w:szCs w:val="15"/>
              </w:rPr>
              <w:t xml:space="preserve">Line chart</w:t>
            </w:r>
          </w:p>
        </w:tc>
      </w:tr>
      <w:tr>
        <w:tc>
          <w:tcPr>
            <w:tcW w:type="pct" w:w="2600"/>
            <w:tcMar>
              <w:top w:type="dxa" w:w="50"/>
              <w:left w:type="dxa" w:w="110"/>
              <w:bottom w:type="dxa" w:w="50"/>
              <w:right w:type="dxa" w:w="110"/>
            </w:tcMar>
          </w:tcPr>
          <w:p>
            <w:pPr>
              <w:spacing w:before="28" w:after="28"/>
            </w:pPr>
            <w:r>
              <w:rPr>
                <w:sz w:val="15"/>
                <w:szCs w:val="15"/>
              </w:rPr>
              <w:t xml:space="preserve">A relationship between two variables</w:t>
            </w:r>
          </w:p>
        </w:tc>
        <w:tc>
          <w:tcPr>
            <w:tcW w:type="pct" w:w="2400"/>
            <w:tcMar>
              <w:top w:type="dxa" w:w="50"/>
              <w:left w:type="dxa" w:w="110"/>
              <w:bottom w:type="dxa" w:w="50"/>
              <w:right w:type="dxa" w:w="110"/>
            </w:tcMar>
          </w:tcPr>
          <w:p>
            <w:pPr>
              <w:spacing w:before="28" w:after="28"/>
            </w:pPr>
            <w:r>
              <w:rPr>
                <w:sz w:val="15"/>
                <w:szCs w:val="15"/>
              </w:rPr>
              <w:t xml:space="preserve">Scatter plot</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A distribution of many values</w:t>
            </w:r>
          </w:p>
        </w:tc>
        <w:tc>
          <w:tcPr>
            <w:tcW w:type="pct" w:w="2400"/>
            <w:shd w:fill="FBFAF6" w:val="clear"/>
            <w:tcMar>
              <w:top w:type="dxa" w:w="50"/>
              <w:left w:type="dxa" w:w="110"/>
              <w:bottom w:type="dxa" w:w="50"/>
              <w:right w:type="dxa" w:w="110"/>
            </w:tcMar>
          </w:tcPr>
          <w:p>
            <w:pPr>
              <w:spacing w:before="28" w:after="28"/>
            </w:pPr>
            <w:r>
              <w:rPr>
                <w:sz w:val="15"/>
                <w:szCs w:val="15"/>
              </w:rPr>
              <w:t xml:space="preserve">Histogram or box plot</w:t>
            </w:r>
          </w:p>
        </w:tc>
      </w:tr>
      <w:tr>
        <w:tc>
          <w:tcPr>
            <w:tcW w:type="pct" w:w="2600"/>
            <w:tcMar>
              <w:top w:type="dxa" w:w="50"/>
              <w:left w:type="dxa" w:w="110"/>
              <w:bottom w:type="dxa" w:w="50"/>
              <w:right w:type="dxa" w:w="110"/>
            </w:tcMar>
          </w:tcPr>
          <w:p>
            <w:pPr>
              <w:spacing w:before="28" w:after="28"/>
            </w:pPr>
            <w:r>
              <w:rPr>
                <w:sz w:val="15"/>
                <w:szCs w:val="15"/>
              </w:rPr>
              <w:t xml:space="preserve">Composition of a whole</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Exact values that will be read off</w:t>
            </w:r>
          </w:p>
        </w:tc>
        <w:tc>
          <w:tcPr>
            <w:tcW w:type="pct" w:w="2400"/>
            <w:shd w:fill="FBFAF6" w:val="clear"/>
            <w:tcMar>
              <w:top w:type="dxa" w:w="50"/>
              <w:left w:type="dxa" w:w="110"/>
              <w:bottom w:type="dxa" w:w="50"/>
              <w:right w:type="dxa" w:w="110"/>
            </w:tcMar>
          </w:tcPr>
          <w:p>
            <w:pPr>
              <w:spacing w:before="28" w:after="28"/>
            </w:pPr>
            <w:r>
              <w:rPr>
                <w:sz w:val="15"/>
                <w:szCs w:val="15"/>
              </w:rPr>
              <w:t xml:space="preserve">Table</w:t>
            </w:r>
          </w:p>
        </w:tc>
      </w:tr>
      <w:tr>
        <w:tc>
          <w:tcPr>
            <w:tcW w:type="pct" w:w="2600"/>
            <w:tcMar>
              <w:top w:type="dxa" w:w="50"/>
              <w:left w:type="dxa" w:w="110"/>
              <w:bottom w:type="dxa" w:w="50"/>
              <w:right w:type="dxa" w:w="110"/>
            </w:tcMar>
          </w:tcPr>
          <w:p>
            <w:pPr>
              <w:spacing w:before="28" w:after="28"/>
            </w:pPr>
            <w:r>
              <w:rPr>
                <w:sz w:val="15"/>
                <w:szCs w:val="15"/>
              </w:rPr>
              <w:t xml:space="preserve">Several measures watched over time</w:t>
            </w:r>
          </w:p>
        </w:tc>
        <w:tc>
          <w:tcPr>
            <w:tcW w:type="pct" w:w="2400"/>
            <w:tcMar>
              <w:top w:type="dxa" w:w="50"/>
              <w:left w:type="dxa" w:w="110"/>
              <w:bottom w:type="dxa" w:w="50"/>
              <w:right w:type="dxa" w:w="110"/>
            </w:tcMar>
          </w:tcPr>
          <w:p>
            <w:pPr>
              <w:spacing w:before="28" w:after="28"/>
            </w:pPr>
            <w:r>
              <w:rPr>
                <w:sz w:val="15"/>
                <w:szCs w:val="15"/>
              </w:rPr>
              <w:t xml:space="preserve">Dashboard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Stacked bar, or a table   ·   Bar chart   ·   Histogram or box plot</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8–15</w:t>
      </w:r>
    </w:p>
    <w:p>
      <w:pPr>
        <w:spacing w:before="20" w:after="20" w:line="360" w:lineRule="auto"/>
        <w:ind w:left="200"/>
      </w:pPr>
      <w:r>
        <w:rPr>
          <w:sz w:val="19"/>
          <w:szCs w:val="19"/>
        </w:rPr>
        <w:t xml:space="preserve">Three of those have been used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A scatter plot showed cases against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because the question was whether two variables move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histogram showed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outcomes because the question was about the shape of a distribution. </w:t>
      </w:r>
      <w:r>
        <w:rPr>
          <w:sz w:val="19"/>
          <w:szCs w:val="19"/>
        </w:rPr>
        <w:t xml:space="preserve">A line chart showed the eight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because the question was about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over time. </w:t>
      </w:r>
      <w:r>
        <w:rPr>
          <w:sz w:val="19"/>
          <w:szCs w:val="19"/>
        </w:rPr>
        <w:t xml:space="preserve">The last two rows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 note. </w:t>
      </w:r>
      <w:r>
        <w:rPr>
          <w:sz w:val="19"/>
          <w:szCs w:val="19"/>
        </w:rPr>
        <w:t xml:space="preserve">A dashboard suits several measures watched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And a table is the right answer more often than people expect: where exact values will be read off and compared, a table beats any chart.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deserve   ·   repeatedly   ·   against   ·   movement   ·   already   ·   temperature   ·   simulated   ·   together   ·   quarters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box plot   ·   scatter plot   ·   مخطط الصندوق</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scatter plot</w:t>
            </w:r>
          </w:p>
        </w:tc>
        <w:tc>
          <w:tcPr>
            <w:tcW w:type="pct" w:w="2600"/>
            <w:tcMar>
              <w:top w:type="dxa" w:w="50"/>
              <w:left w:type="dxa" w:w="110"/>
              <w:bottom w:type="dxa" w:w="50"/>
              <w:right w:type="dxa" w:w="110"/>
            </w:tcMar>
          </w:tcPr>
          <w:p>
            <w:pPr>
              <w:spacing w:before="26" w:after="26"/>
            </w:pPr>
            <w:r>
              <w:rPr>
                <w:color w:val="232733"/>
                <w:sz w:val="16"/>
                <w:szCs w:val="16"/>
              </w:rPr>
              <w:t xml:space="preserve">مخطط الانتشار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histogram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المدرج التكراري</w:t>
            </w:r>
          </w:p>
        </w:tc>
      </w:tr>
      <w:tr>
        <w:tc>
          <w:tcPr>
            <w:tcW w:type="pct" w:w="2400"/>
            <w:tcMar>
              <w:top w:type="dxa" w:w="50"/>
              <w:left w:type="dxa" w:w="110"/>
              <w:bottom w:type="dxa" w:w="50"/>
              <w:right w:type="dxa" w:w="110"/>
            </w:tcMar>
          </w:tcPr>
          <w:p>
            <w:pPr>
              <w:spacing w:before="26" w:after="26"/>
            </w:pPr>
            <w:r>
              <w:rPr>
                <w:color w:val="232733"/>
                <w:sz w:val="16"/>
                <w:szCs w:val="16"/>
              </w:rPr>
              <w:t xml:space="preserve">box plot</w:t>
            </w:r>
          </w:p>
        </w:tc>
        <w:tc>
          <w:tcPr>
            <w:tcW w:type="pct" w:w="2600"/>
            <w:tcMar>
              <w:top w:type="dxa" w:w="50"/>
              <w:left w:type="dxa" w:w="110"/>
              <w:bottom w:type="dxa" w:w="50"/>
              <w:right w:type="dxa" w:w="110"/>
            </w:tcMar>
          </w:tcPr>
          <w:p>
            <w:pPr>
              <w:spacing w:before="26" w:after="26"/>
            </w:pPr>
            <w:r>
              <w:rPr>
                <w:color w:val="232733"/>
                <w:sz w:val="16"/>
                <w:szCs w:val="16"/>
              </w:rPr>
              <w:t xml:space="preserve">مخطط الصندوق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dashboard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لوحة المؤشرات</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18.1  Choosing the form</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How a true chart misleads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What a picture can and cannot do</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simulated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18A: presenting the Gulf deci</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quarters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movement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deserve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Bar chart</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repeatedly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Stacked bar, or a table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scatter plot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already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box plot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temperature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choice of chart follows from what the reader must see, not from what is available in the software.</w:t>
      </w:r>
    </w:p>
    <w:p>
      <w:pPr>
        <w:spacing w:before="20" w:after="20"/>
        <w:ind w:left="240" w:hanging="240"/>
      </w:pPr>
      <w:r>
        <w:rPr>
          <w:b/>
          <w:bCs/>
          <w:color w:val="353A7C"/>
          <w:sz w:val="15"/>
          <w:szCs w:val="15"/>
        </w:rPr>
        <w:t xml:space="preserve">Summary 2   </w:t>
      </w:r>
      <w:r>
        <w:rPr>
          <w:color w:val="6B7280"/>
          <w:sz w:val="15"/>
          <w:szCs w:val="15"/>
        </w:rPr>
        <w:t xml:space="preserve">Three of those have been used already. A scatter plot showed cases against temperature because the question was whether two variables move together. A histogram showed the simulated outcomes because the question was about the shape of a distribution. A line chart showed the eight quarters because the question was about movement over time. The last two rows deserve a note. A dashboard suits several measures watched repeatedly. And a table is the right answer more often than people expect: where exact values will be read off and compared, a table beats any chart.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18.2  How a true chart misleads</w:t>
            </w:r>
          </w:p>
          <w:p>
            <w:pPr>
              <w:spacing w:before="0" w:after="46"/>
            </w:pPr>
            <w:r>
              <w:rPr>
                <w:color w:val="E8EAF6"/>
                <w:sz w:val="16"/>
                <w:szCs w:val="16"/>
              </w:rPr>
              <w:t xml:space="preserve">Chapter 18 · section 18.2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Distortion rarely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false number. </w:t>
      </w:r>
      <w:r>
        <w:rPr>
          <w:sz w:val="19"/>
          <w:szCs w:val="19"/>
        </w:rPr>
        <w:t xml:space="preserve">On the left the axis begins at 205,000, and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bar towers over the first. </w:t>
      </w:r>
      <w:r>
        <w:rPr>
          <w:sz w:val="19"/>
          <w:szCs w:val="19"/>
        </w:rPr>
        <w:t xml:space="preserve">On the right it begins at zero, and the four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visibly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The third quarter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first by 14 per cent, which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chart conveys and the left-hand chart does not. </w:t>
      </w:r>
      <w:r>
        <w:rPr>
          <w:sz w:val="19"/>
          <w:szCs w:val="19"/>
        </w:rPr>
        <w:t xml:space="preserve">Every figure in the left-hand chart 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Nothing has been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nothing omitted, and the axis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labelled. </w:t>
      </w:r>
      <w:r>
        <w:rPr>
          <w:sz w:val="19"/>
          <w:szCs w:val="19"/>
        </w:rPr>
        <w:t xml:space="preserve">It misleads because a bar's length is read as its value, and truncating the axis breaks that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while leaving the chart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defensible. </w:t>
      </w:r>
      <w:r>
        <w:rPr>
          <w:sz w:val="19"/>
          <w:szCs w:val="19"/>
        </w:rPr>
        <w:t xml:space="preserve">A label does not undo the distortion, because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take the message from the shape before reading the axis. </w:t>
      </w:r>
      <w:r>
        <w:rPr>
          <w:sz w:val="19"/>
          <w:szCs w:val="19"/>
        </w:rPr>
        <w:t xml:space="preserve">For a bar chart the rule is simple and worth keeping: start at zero. </w:t>
      </w:r>
      <w:r>
        <w:rPr>
          <w:sz w:val="19"/>
          <w:szCs w:val="19"/>
        </w:rPr>
        <w:t xml:space="preserve">A line chart may begin elsewhere, because a line's message is its slope rather than its length, but the choice should still be stated.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quarters   ·   honestly   ·   relationship   ·   involves   ·   similar   ·   invented   ·   elsewhere   ·   third-quarter   ·   correct   ·   right-hand   ·   readers   ·   exceeds   ·   technically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truncated axis</w:t>
            </w:r>
          </w:p>
        </w:tc>
        <w:tc>
          <w:tcPr>
            <w:tcW w:type="pct" w:w="2400"/>
            <w:tcMar>
              <w:top w:type="dxa" w:w="50"/>
              <w:left w:type="dxa" w:w="110"/>
              <w:bottom w:type="dxa" w:w="50"/>
              <w:right w:type="dxa" w:w="110"/>
            </w:tcMar>
          </w:tcPr>
          <w:p>
            <w:pPr>
              <w:spacing w:before="26" w:after="26"/>
            </w:pPr>
            <w:r>
              <w:rPr>
                <w:color w:val="232733"/>
                <w:sz w:val="16"/>
                <w:szCs w:val="16"/>
              </w:rPr>
              <w:t xml:space="preserve">المحور المقطوع</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18.2  How a true chart misleads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involves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correct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third-quarter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invented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honestly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similar</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exceeds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technically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right-hand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readers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Distortion rarely involves a false number. On the left the axis begins at 205,000, and the third-quarter bar towers over the first. On the right it begins at zero, and the four quarters are visibly similar. The third quarter exceeds the first by 14 per cent, which the right-hand chart conveys and the left-hand chart does not. Every figure in the left-hand chart is correct. Nothing has been invented, nothing omitted, and the axis is honestly labelled. It misleads because a bar's length is read as its value, and truncating the axis breaks that relationship while leaving the chart technically defensible. A label does not undo the distortion, because readers take the message from the shape before reading the axis. For a bar chart the rule is simple and worth keeping: start at zero. A line chart may begin elsewhere, because a line's message is its slope rather than its length, but the choice should still be stated.</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18.3  Design practices worth following</w:t>
            </w:r>
          </w:p>
          <w:p>
            <w:pPr>
              <w:spacing w:before="0" w:after="46"/>
            </w:pPr>
            <w:r>
              <w:rPr>
                <w:color w:val="E8EAF6"/>
                <w:sz w:val="16"/>
                <w:szCs w:val="16"/>
              </w:rPr>
              <w:t xml:space="preserve">Chapter 18 · section 18.3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58"/>
        <w:gridCol w:w="4224"/>
        <w:gridCol w:w="261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Design practices and the reason for each</w:t>
            </w:r>
          </w:p>
        </w:tc>
      </w:tr>
      <w:tr>
        <w:tc>
          <w:tcPr>
            <w:tcW w:type="pct" w:w="1436"/>
            <w:shd w:fill="353A7C" w:val="clear"/>
            <w:tcMar>
              <w:top w:type="dxa" w:w="50"/>
              <w:left w:type="dxa" w:w="110"/>
              <w:bottom w:type="dxa" w:w="50"/>
              <w:right w:type="dxa" w:w="110"/>
            </w:tcMar>
          </w:tcPr>
          <w:p>
            <w:pPr>
              <w:spacing w:before="30" w:after="30"/>
            </w:pPr>
            <w:r>
              <w:rPr>
                <w:b/>
                <w:bCs/>
                <w:color w:val="FFFFFF"/>
                <w:sz w:val="15"/>
                <w:szCs w:val="15"/>
              </w:rPr>
              <w:t xml:space="preserve">Practice (F.4.bb)</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w:t>
            </w:r>
          </w:p>
        </w:tc>
        <w:tc>
          <w:tcPr>
            <w:tcW w:type="pct" w:w="1364"/>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1436"/>
            <w:tcMar>
              <w:top w:type="dxa" w:w="50"/>
              <w:left w:type="dxa" w:w="110"/>
              <w:bottom w:type="dxa" w:w="50"/>
              <w:right w:type="dxa" w:w="110"/>
            </w:tcMar>
          </w:tcPr>
          <w:p>
            <w:pPr>
              <w:spacing w:before="28" w:after="28"/>
            </w:pPr>
            <w:r>
              <w:rPr>
                <w:sz w:val="15"/>
                <w:szCs w:val="15"/>
              </w:rPr>
              <w:t xml:space="preserve">Start a bar chart's axis at zero</w:t>
            </w:r>
          </w:p>
        </w:tc>
        <w:tc>
          <w:tcPr>
            <w:tcW w:type="pct" w:w="2200"/>
            <w:tcMar>
              <w:top w:type="dxa" w:w="50"/>
              <w:left w:type="dxa" w:w="110"/>
              <w:bottom w:type="dxa" w:w="50"/>
              <w:right w:type="dxa" w:w="110"/>
            </w:tcMar>
          </w:tcPr>
          <w:p>
            <w:pPr>
              <w:spacing w:before="28" w:after="28"/>
            </w:pPr>
            <w:r>
              <w:rPr>
                <w:sz w:val="15"/>
                <w:szCs w:val="15"/>
              </w:rPr>
              <w:t xml:space="preserve">A bar's length is the message; truncating it lies about the ratio</w:t>
            </w:r>
          </w:p>
        </w:tc>
        <w:tc>
          <w:tcPr>
            <w:tcW w:type="pct" w:w="1364"/>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436"/>
            <w:shd w:fill="FBFAF6" w:val="clear"/>
            <w:tcMar>
              <w:top w:type="dxa" w:w="50"/>
              <w:left w:type="dxa" w:w="110"/>
              <w:bottom w:type="dxa" w:w="50"/>
              <w:right w:type="dxa" w:w="110"/>
            </w:tcMar>
          </w:tcPr>
          <w:p>
            <w:pPr>
              <w:spacing w:before="28" w:after="28"/>
            </w:pPr>
            <w:r>
              <w:rPr>
                <w:sz w:val="15"/>
                <w:szCs w:val="15"/>
              </w:rPr>
              <w:t xml:space="preserve">Keep the aspect ratio honest</w:t>
            </w:r>
          </w:p>
        </w:tc>
        <w:tc>
          <w:tcPr>
            <w:tcW w:type="pct" w:w="2200"/>
            <w:shd w:fill="FBFAF6" w:val="clear"/>
            <w:tcMar>
              <w:top w:type="dxa" w:w="50"/>
              <w:left w:type="dxa" w:w="110"/>
              <w:bottom w:type="dxa" w:w="50"/>
              <w:right w:type="dxa" w:w="110"/>
            </w:tcMar>
          </w:tcPr>
          <w:p>
            <w:pPr>
              <w:spacing w:before="28" w:after="28"/>
            </w:pPr>
            <w:r>
              <w:rPr>
                <w:sz w:val="15"/>
                <w:szCs w:val="15"/>
              </w:rPr>
              <w:t xml:space="preserve">Stretching a chart vertically steepens every trend</w:t>
            </w:r>
          </w:p>
        </w:tc>
        <w:tc>
          <w:tcPr>
            <w:tcW w:type="pct" w:w="1364"/>
            <w:shd w:fill="FBFAF6" w:val="clear"/>
            <w:tcMar>
              <w:top w:type="dxa" w:w="50"/>
              <w:left w:type="dxa" w:w="110"/>
              <w:bottom w:type="dxa" w:w="50"/>
              <w:right w:type="dxa" w:w="110"/>
            </w:tcMar>
          </w:tcPr>
          <w:p>
            <w:pPr>
              <w:spacing w:before="28" w:after="28"/>
            </w:pPr>
            <w:r>
              <w:rPr>
                <w:sz w:val="15"/>
                <w:szCs w:val="15"/>
              </w:rPr>
              <w:t xml:space="preserve">Choose it before seeing the result</w:t>
            </w:r>
          </w:p>
        </w:tc>
      </w:tr>
      <w:tr>
        <w:tc>
          <w:tcPr>
            <w:tcW w:type="pct" w:w="1436"/>
            <w:tcMar>
              <w:top w:type="dxa" w:w="50"/>
              <w:left w:type="dxa" w:w="110"/>
              <w:bottom w:type="dxa" w:w="50"/>
              <w:right w:type="dxa" w:w="110"/>
            </w:tcMar>
          </w:tcPr>
          <w:p>
            <w:pPr>
              <w:spacing w:before="28" w:after="28"/>
            </w:pPr>
            <w:r>
              <w:rPr>
                <w:sz w:val="15"/>
                <w:szCs w:val="15"/>
              </w:rPr>
              <w:t xml:space="preserve">Label directly where you can</w:t>
            </w:r>
          </w:p>
        </w:tc>
        <w:tc>
          <w:tcPr>
            <w:tcW w:type="pct" w:w="2200"/>
            <w:tcMar>
              <w:top w:type="dxa" w:w="50"/>
              <w:left w:type="dxa" w:w="110"/>
              <w:bottom w:type="dxa" w:w="50"/>
              <w:right w:type="dxa" w:w="110"/>
            </w:tcMar>
          </w:tcPr>
          <w:p>
            <w:pPr>
              <w:spacing w:before="28" w:after="28"/>
            </w:pPr>
            <w:r>
              <w:rPr>
                <w:sz w:val="15"/>
                <w:szCs w:val="15"/>
              </w:rPr>
              <w:t xml:space="preserve">A legend makes the eye travel; a label does not</w:t>
            </w:r>
          </w:p>
        </w:tc>
        <w:tc>
          <w:tcPr>
            <w:tcW w:type="pct" w:w="1364"/>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436"/>
            <w:shd w:fill="FBFAF6" w:val="clear"/>
            <w:tcMar>
              <w:top w:type="dxa" w:w="50"/>
              <w:left w:type="dxa" w:w="110"/>
              <w:bottom w:type="dxa" w:w="50"/>
              <w:right w:type="dxa" w:w="110"/>
            </w:tcMar>
          </w:tcPr>
          <w:p>
            <w:pPr>
              <w:spacing w:before="28" w:after="28"/>
            </w:pPr>
            <w:r>
              <w:rPr>
                <w:sz w:val="15"/>
                <w:szCs w:val="15"/>
              </w:rPr>
              <w:t xml:space="preserve">Order categories meaningfully</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364"/>
            <w:shd w:fill="FBFAF6" w:val="clear"/>
            <w:tcMar>
              <w:top w:type="dxa" w:w="50"/>
              <w:left w:type="dxa" w:w="110"/>
              <w:bottom w:type="dxa" w:w="50"/>
              <w:right w:type="dxa" w:w="110"/>
            </w:tcMar>
          </w:tcPr>
          <w:p>
            <w:pPr>
              <w:spacing w:before="28" w:after="28"/>
            </w:pPr>
            <w:r>
              <w:rPr>
                <w:sz w:val="15"/>
                <w:szCs w:val="15"/>
              </w:rPr>
              <w:t xml:space="preserve">Unless the reader will look a category up</w:t>
            </w:r>
          </w:p>
        </w:tc>
      </w:tr>
      <w:tr>
        <w:tc>
          <w:tcPr>
            <w:tcW w:type="pct" w:w="1436"/>
            <w:tcMar>
              <w:top w:type="dxa" w:w="50"/>
              <w:left w:type="dxa" w:w="110"/>
              <w:bottom w:type="dxa" w:w="50"/>
              <w:right w:type="dxa" w:w="110"/>
            </w:tcMar>
          </w:tcPr>
          <w:p>
            <w:pPr>
              <w:spacing w:before="28" w:after="28"/>
            </w:pPr>
            <w:r>
              <w:rPr>
                <w:sz w:val="15"/>
                <w:szCs w:val="15"/>
              </w:rPr>
              <w:t xml:space="preserve">Remove what does not inform</w:t>
            </w:r>
          </w:p>
        </w:tc>
        <w:tc>
          <w:tcPr>
            <w:tcW w:type="pct" w:w="2200"/>
            <w:tcMar>
              <w:top w:type="dxa" w:w="50"/>
              <w:left w:type="dxa" w:w="110"/>
              <w:bottom w:type="dxa" w:w="50"/>
              <w:right w:type="dxa" w:w="110"/>
            </w:tcMar>
          </w:tcPr>
          <w:p>
            <w:pPr>
              <w:spacing w:before="28" w:after="28"/>
            </w:pPr>
            <w:r>
              <w:rPr>
                <w:sz w:val="15"/>
                <w:szCs w:val="15"/>
              </w:rPr>
              <w:t xml:space="preserve">Gridlines, borders and effects compete with the data</w:t>
            </w:r>
          </w:p>
        </w:tc>
        <w:tc>
          <w:tcPr>
            <w:tcW w:type="pct" w:w="1364"/>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436"/>
            <w:shd w:fill="FBFAF6" w:val="clear"/>
            <w:tcMar>
              <w:top w:type="dxa" w:w="50"/>
              <w:left w:type="dxa" w:w="110"/>
              <w:bottom w:type="dxa" w:w="50"/>
              <w:right w:type="dxa" w:w="110"/>
            </w:tcMar>
          </w:tcPr>
          <w:p>
            <w:pPr>
              <w:spacing w:before="28" w:after="28"/>
            </w:pPr>
            <w:r>
              <w:rPr>
                <w:sz w:val="15"/>
                <w:szCs w:val="15"/>
              </w:rPr>
              <w:t xml:space="preserve">One message per exhibit</w:t>
            </w:r>
          </w:p>
        </w:tc>
        <w:tc>
          <w:tcPr>
            <w:tcW w:type="pct" w:w="2200"/>
            <w:shd w:fill="FBFAF6" w:val="clear"/>
            <w:tcMar>
              <w:top w:type="dxa" w:w="50"/>
              <w:left w:type="dxa" w:w="110"/>
              <w:bottom w:type="dxa" w:w="50"/>
              <w:right w:type="dxa" w:w="110"/>
            </w:tcMar>
          </w:tcPr>
          <w:p>
            <w:pPr>
              <w:spacing w:before="28" w:after="28"/>
            </w:pPr>
            <w:r>
              <w:rPr>
                <w:sz w:val="15"/>
                <w:szCs w:val="15"/>
              </w:rPr>
              <w:t xml:space="preserve">A chart saying three things usually says none</w:t>
            </w:r>
          </w:p>
        </w:tc>
        <w:tc>
          <w:tcPr>
            <w:tcW w:type="pct" w:w="1364"/>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1436"/>
            <w:tcMar>
              <w:top w:type="dxa" w:w="50"/>
              <w:left w:type="dxa" w:w="110"/>
              <w:bottom w:type="dxa" w:w="50"/>
              <w:right w:type="dxa" w:w="110"/>
            </w:tcMar>
          </w:tcPr>
          <w:p>
            <w:pPr>
              <w:spacing w:before="28" w:after="28"/>
            </w:pPr>
            <w:r>
              <w:rPr>
                <w:sz w:val="15"/>
                <w:szCs w:val="15"/>
              </w:rPr>
              <w:t xml:space="preserve">Show the caveat</w:t>
            </w:r>
          </w:p>
        </w:tc>
        <w:tc>
          <w:tcPr>
            <w:tcW w:type="pct" w:w="2200"/>
            <w:tcMar>
              <w:top w:type="dxa" w:w="50"/>
              <w:left w:type="dxa" w:w="110"/>
              <w:bottom w:type="dxa" w:w="50"/>
              <w:right w:type="dxa" w:w="110"/>
            </w:tcMar>
          </w:tcPr>
          <w:p>
            <w:pPr>
              <w:spacing w:before="28" w:after="28"/>
            </w:pPr>
            <w:r>
              <w:rPr>
                <w:sz w:val="15"/>
                <w:szCs w:val="15"/>
              </w:rPr>
              <w:t xml:space="preserve">Sample size, excluded rows, estimated inputs</w:t>
            </w:r>
          </w:p>
        </w:tc>
        <w:tc>
          <w:tcPr>
            <w:tcW w:type="pct" w:w="1364"/>
            <w:shd w:fill="FFFFFF" w:val="clear"/>
            <w:tcMar>
              <w:top w:type="dxa" w:w="50"/>
              <w:left w:type="dxa" w:w="110"/>
              <w:bottom w:type="dxa" w:w="50"/>
              <w:right w:type="dxa" w:w="110"/>
            </w:tcMar>
          </w:tcPr>
          <w:p>
            <w:pPr>
              <w:spacing w:before="46" w:after="46"/>
            </w:pPr>
            <w:r>
              <w:rPr>
                <w:b/>
                <w:bCs/>
                <w:color w:val="8186EF"/>
                <w:sz w:val="14"/>
                <w:szCs w:val="14"/>
              </w:rPr>
              <w:t xml:space="preserve">(6)</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Put the series name at the end of the line   ·   Chapter 17's probabilities were estimates   ·   A line chart may start elsewhere, if labelled   ·   Draw the second chart   ·   Choose it before seeing the result   ·   Every mark should carry meaning   ·   By size, or by time; not by the alphabet</w:t>
            </w:r>
          </w:p>
        </w:tc>
      </w:tr>
    </w:tbl>
    <w:p/>
    <w:p>
      <w:pPr>
        <w:spacing w:before="44" w:after="14"/>
      </w:pPr>
      <w:r>
        <w:rPr>
          <w:b/>
          <w:bCs/>
          <w:color w:val="353A7C"/>
          <w:sz w:val="18"/>
          <w:szCs w:val="18"/>
        </w:rPr>
        <w:t xml:space="preserve">Summary 1</w:t>
      </w:r>
      <w:r>
        <w:rPr>
          <w:color w:val="6B7280"/>
          <w:sz w:val="16"/>
          <w:szCs w:val="16"/>
        </w:rPr>
        <w:t xml:space="preserve">      gaps 7–13</w:t>
      </w:r>
    </w:p>
    <w:p>
      <w:pPr>
        <w:spacing w:before="20" w:after="20" w:line="360" w:lineRule="auto"/>
        <w:ind w:left="200"/>
      </w:pPr>
      <w:r>
        <w:rPr>
          <w:sz w:val="19"/>
          <w:szCs w:val="19"/>
        </w:rPr>
        <w:t xml:space="preserve">The aspect ratio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more attention than it usually gets. </w:t>
      </w:r>
      <w:r>
        <w:rPr>
          <w:sz w:val="19"/>
          <w:szCs w:val="19"/>
        </w:rPr>
        <w:t xml:space="preserve">Stretching a chart vertically steepens every trend in it, and the stretch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to a reader who never sees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Choosing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before seeing the result removes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what does not inform is the rule that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most charts. </w:t>
      </w:r>
      <w:r>
        <w:rPr>
          <w:sz w:val="19"/>
          <w:szCs w:val="19"/>
        </w:rPr>
        <w:t xml:space="preserve">Gridlines, borders, shadows and three-dimensional effects compete with the data for the reader's attention, and the data always loses something in the contest.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Removing   ·   improves   ·   invisible   ·   deserves   ·   alternative   ·   temptation   ·   something   ·   proportions</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18.3  Design practices worth following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 line chart may start elsewhere, if labelled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invisible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Put the series name at the end of the line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alternative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By size, or by time; not by the alphabet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proportions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Every mark should carry meaning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temptation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Draw the second chart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Removing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Chapter 17's probabilities were estimates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improves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deserves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aspect ratio deserves more attention than it usually gets. Stretching a chart vertically steepens every trend in it, and the stretch is invisible to a reader who never sees the alternative. Choosing the proportions before seeing the result removes the temptation. Removing what does not inform is the rule that improves most charts. Gridlines, borders, shadows and three-dimensional effects compete with the data for the reader's attention, and the data always loses something in the contest.</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18.4  What a picture can and cannot do</w:t>
            </w:r>
          </w:p>
          <w:p>
            <w:pPr>
              <w:spacing w:before="0" w:after="46"/>
            </w:pPr>
            <w:r>
              <w:rPr>
                <w:color w:val="E8EAF6"/>
                <w:sz w:val="16"/>
                <w:szCs w:val="16"/>
              </w:rPr>
              <w:t xml:space="preserve">Chapter 18 · section 18.4</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03"/>
        <w:gridCol w:w="4224"/>
        <w:gridCol w:w="317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benefits of visualization and their matching limitations</w:t>
            </w:r>
          </w:p>
        </w:tc>
      </w:tr>
      <w:tr>
        <w:tc>
          <w:tcPr>
            <w:tcW w:type="pct" w:w="1148"/>
            <w:shd w:fill="353A7C" w:val="clear"/>
            <w:tcMar>
              <w:top w:type="dxa" w:w="50"/>
              <w:left w:type="dxa" w:w="110"/>
              <w:bottom w:type="dxa" w:w="50"/>
              <w:right w:type="dxa" w:w="110"/>
            </w:tcMar>
          </w:tcPr>
          <w:p>
            <w:pPr>
              <w:spacing w:before="30" w:after="30"/>
            </w:pPr>
            <w:r>
              <w:rPr>
                <w:b/>
                <w:bCs/>
                <w:color w:val="FFFFFF"/>
                <w:sz w:val="15"/>
                <w:szCs w:val="15"/>
              </w:rPr>
              <w:t xml:space="preserve">Visualization (F.4.dd)</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Benefit</w:t>
            </w:r>
          </w:p>
        </w:tc>
        <w:tc>
          <w:tcPr>
            <w:tcW w:type="pct" w:w="1652"/>
            <w:shd w:fill="353A7C" w:val="clear"/>
            <w:tcMar>
              <w:top w:type="dxa" w:w="50"/>
              <w:left w:type="dxa" w:w="110"/>
              <w:bottom w:type="dxa" w:w="50"/>
              <w:right w:type="dxa" w:w="110"/>
            </w:tcMar>
          </w:tcPr>
          <w:p>
            <w:pPr>
              <w:spacing w:before="30" w:after="30"/>
            </w:pPr>
            <w:r>
              <w:rPr>
                <w:b/>
                <w:bCs/>
                <w:color w:val="FFFFFF"/>
                <w:sz w:val="15"/>
                <w:szCs w:val="15"/>
              </w:rPr>
              <w:t xml:space="preserve">Matching limitation</w:t>
            </w:r>
          </w:p>
        </w:tc>
      </w:tr>
      <w:tr>
        <w:tc>
          <w:tcPr>
            <w:tcW w:type="pct" w:w="1148"/>
            <w:tcMar>
              <w:top w:type="dxa" w:w="50"/>
              <w:left w:type="dxa" w:w="110"/>
              <w:bottom w:type="dxa" w:w="50"/>
              <w:right w:type="dxa" w:w="110"/>
            </w:tcMar>
          </w:tcPr>
          <w:p>
            <w:pPr>
              <w:spacing w:before="28" w:after="28"/>
            </w:pPr>
            <w:r>
              <w:rPr>
                <w:sz w:val="15"/>
                <w:szCs w:val="15"/>
              </w:rPr>
              <w:t xml:space="preserve">The eye is fast</w:t>
            </w:r>
          </w:p>
        </w:tc>
        <w:tc>
          <w:tcPr>
            <w:tcW w:type="pct" w:w="2200"/>
            <w:tcMar>
              <w:top w:type="dxa" w:w="50"/>
              <w:left w:type="dxa" w:w="110"/>
              <w:bottom w:type="dxa" w:w="50"/>
              <w:right w:type="dxa" w:w="110"/>
            </w:tcMar>
          </w:tcPr>
          <w:p>
            <w:pPr>
              <w:spacing w:before="28" w:after="28"/>
            </w:pPr>
            <w:r>
              <w:rPr>
                <w:sz w:val="15"/>
                <w:szCs w:val="15"/>
              </w:rPr>
              <w:t xml:space="preserve">A pattern visible in a second would take minutes in a table</w:t>
            </w:r>
          </w:p>
        </w:tc>
        <w:tc>
          <w:tcPr>
            <w:tcW w:type="pct" w:w="1652"/>
            <w:tcMar>
              <w:top w:type="dxa" w:w="50"/>
              <w:left w:type="dxa" w:w="110"/>
              <w:bottom w:type="dxa" w:w="50"/>
              <w:right w:type="dxa" w:w="110"/>
            </w:tcMar>
          </w:tcPr>
          <w:p>
            <w:pPr>
              <w:spacing w:before="28" w:after="28"/>
            </w:pPr>
            <w:r>
              <w:rPr>
                <w:sz w:val="15"/>
                <w:szCs w:val="15"/>
              </w:rPr>
              <w:t xml:space="preserve">The same speed makes a distorted chart persuasive</w:t>
            </w:r>
          </w:p>
        </w:tc>
      </w:tr>
      <w:tr>
        <w:tc>
          <w:tcPr>
            <w:tcW w:type="pct" w:w="1148"/>
            <w:shd w:fill="FBFAF6" w:val="clear"/>
            <w:tcMar>
              <w:top w:type="dxa" w:w="50"/>
              <w:left w:type="dxa" w:w="110"/>
              <w:bottom w:type="dxa" w:w="50"/>
              <w:right w:type="dxa" w:w="110"/>
            </w:tcMar>
          </w:tcPr>
          <w:p>
            <w:pPr>
              <w:spacing w:before="28" w:after="28"/>
            </w:pPr>
            <w:r>
              <w:rPr>
                <w:sz w:val="15"/>
                <w:szCs w:val="15"/>
              </w:rPr>
              <w:t xml:space="preserve">It reaches non-specialists</w:t>
            </w:r>
          </w:p>
        </w:tc>
        <w:tc>
          <w:tcPr>
            <w:tcW w:type="pct" w:w="2200"/>
            <w:shd w:fill="FBFAF6" w:val="clear"/>
            <w:tcMar>
              <w:top w:type="dxa" w:w="50"/>
              <w:left w:type="dxa" w:w="110"/>
              <w:bottom w:type="dxa" w:w="50"/>
              <w:right w:type="dxa" w:w="110"/>
            </w:tcMar>
          </w:tcPr>
          <w:p>
            <w:pPr>
              <w:spacing w:before="28" w:after="28"/>
            </w:pPr>
            <w:r>
              <w:rPr>
                <w:sz w:val="15"/>
                <w:szCs w:val="15"/>
              </w:rPr>
              <w:t xml:space="preserve">A board reads a chart it would not read as output</w:t>
            </w:r>
          </w:p>
        </w:tc>
        <w:tc>
          <w:tcPr>
            <w:tcW w:type="pct" w:w="1652"/>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1148"/>
            <w:tcMar>
              <w:top w:type="dxa" w:w="50"/>
              <w:left w:type="dxa" w:w="110"/>
              <w:bottom w:type="dxa" w:w="50"/>
              <w:right w:type="dxa" w:w="110"/>
            </w:tcMar>
          </w:tcPr>
          <w:p>
            <w:pPr>
              <w:spacing w:before="28" w:after="28"/>
            </w:pPr>
            <w:r>
              <w:rPr>
                <w:sz w:val="15"/>
                <w:szCs w:val="15"/>
              </w:rPr>
              <w:t xml:space="preserve">It reveals the unexpected</w:t>
            </w:r>
          </w:p>
        </w:tc>
        <w:tc>
          <w:tcPr>
            <w:tcW w:type="pct" w:w="2200"/>
            <w:tcMar>
              <w:top w:type="dxa" w:w="50"/>
              <w:left w:type="dxa" w:w="110"/>
              <w:bottom w:type="dxa" w:w="50"/>
              <w:right w:type="dxa" w:w="110"/>
            </w:tcMar>
          </w:tcPr>
          <w:p>
            <w:pPr>
              <w:spacing w:before="28" w:after="28"/>
            </w:pPr>
            <w:r>
              <w:rPr>
                <w:sz w:val="15"/>
                <w:szCs w:val="15"/>
              </w:rPr>
              <w:t xml:space="preserve">Outliers and gaps show themselves</w:t>
            </w:r>
          </w:p>
        </w:tc>
        <w:tc>
          <w:tcPr>
            <w:tcW w:type="pct" w:w="1652"/>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148"/>
            <w:shd w:fill="FBFAF6" w:val="clear"/>
            <w:tcMar>
              <w:top w:type="dxa" w:w="50"/>
              <w:left w:type="dxa" w:w="110"/>
              <w:bottom w:type="dxa" w:w="50"/>
              <w:right w:type="dxa" w:w="110"/>
            </w:tcMar>
          </w:tcPr>
          <w:p>
            <w:pPr>
              <w:spacing w:before="28" w:after="28"/>
            </w:pPr>
            <w:r>
              <w:rPr>
                <w:sz w:val="15"/>
                <w:szCs w:val="15"/>
              </w:rPr>
              <w:t xml:space="preserve">It compresses volume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652"/>
            <w:shd w:fill="FBFAF6" w:val="clear"/>
            <w:tcMar>
              <w:top w:type="dxa" w:w="50"/>
              <w:left w:type="dxa" w:w="110"/>
              <w:bottom w:type="dxa" w:w="50"/>
              <w:right w:type="dxa" w:w="110"/>
            </w:tcMar>
          </w:tcPr>
          <w:p>
            <w:pPr>
              <w:spacing w:before="28" w:after="28"/>
            </w:pPr>
            <w:r>
              <w:rPr>
                <w:sz w:val="15"/>
                <w:szCs w:val="15"/>
              </w:rPr>
              <w:t xml:space="preserve">Compression hides the individual case</w:t>
            </w:r>
          </w:p>
        </w:tc>
      </w:tr>
      <w:tr>
        <w:tc>
          <w:tcPr>
            <w:tcW w:type="pct" w:w="1148"/>
            <w:tcMar>
              <w:top w:type="dxa" w:w="50"/>
              <w:left w:type="dxa" w:w="110"/>
              <w:bottom w:type="dxa" w:w="50"/>
              <w:right w:type="dxa" w:w="110"/>
            </w:tcMar>
          </w:tcPr>
          <w:p>
            <w:pPr>
              <w:spacing w:before="28" w:after="28"/>
            </w:pPr>
            <w:r>
              <w:rPr>
                <w:sz w:val="15"/>
                <w:szCs w:val="15"/>
              </w:rPr>
              <w:t xml:space="preserve">It aids memory</w:t>
            </w:r>
          </w:p>
        </w:tc>
        <w:tc>
          <w:tcPr>
            <w:tcW w:type="pct" w:w="2200"/>
            <w:tcMar>
              <w:top w:type="dxa" w:w="50"/>
              <w:left w:type="dxa" w:w="110"/>
              <w:bottom w:type="dxa" w:w="50"/>
              <w:right w:type="dxa" w:w="110"/>
            </w:tcMar>
          </w:tcPr>
          <w:p>
            <w:pPr>
              <w:spacing w:before="28" w:after="28"/>
            </w:pPr>
            <w:r>
              <w:rPr>
                <w:sz w:val="15"/>
                <w:szCs w:val="15"/>
              </w:rPr>
              <w:t xml:space="preserve">A reader recalls a shape, not a number</w:t>
            </w:r>
          </w:p>
        </w:tc>
        <w:tc>
          <w:tcPr>
            <w:tcW w:type="pct" w:w="1652"/>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1148"/>
            <w:shd w:fill="FBFAF6" w:val="clear"/>
            <w:tcMar>
              <w:top w:type="dxa" w:w="50"/>
              <w:left w:type="dxa" w:w="110"/>
              <w:bottom w:type="dxa" w:w="50"/>
              <w:right w:type="dxa" w:w="110"/>
            </w:tcMar>
          </w:tcPr>
          <w:p>
            <w:pPr>
              <w:spacing w:before="28" w:after="28"/>
            </w:pPr>
            <w:r>
              <w:rPr>
                <w:sz w:val="15"/>
                <w:szCs w:val="15"/>
              </w:rPr>
              <w:t xml:space="preserve">It supports the argument</w:t>
            </w:r>
          </w:p>
        </w:tc>
        <w:tc>
          <w:tcPr>
            <w:tcW w:type="pct" w:w="2200"/>
            <w:shd w:fill="FBFAF6" w:val="clear"/>
            <w:tcMar>
              <w:top w:type="dxa" w:w="50"/>
              <w:left w:type="dxa" w:w="110"/>
              <w:bottom w:type="dxa" w:w="50"/>
              <w:right w:type="dxa" w:w="110"/>
            </w:tcMar>
          </w:tcPr>
          <w:p>
            <w:pPr>
              <w:spacing w:before="28" w:after="28"/>
            </w:pPr>
            <w:r>
              <w:rPr>
                <w:sz w:val="15"/>
                <w:szCs w:val="15"/>
              </w:rPr>
              <w:t xml:space="preserve">The claim and its evidence sit together</w:t>
            </w:r>
          </w:p>
        </w:tc>
        <w:tc>
          <w:tcPr>
            <w:tcW w:type="pct" w:w="1652"/>
            <w:shd w:fill="FFFFFF" w:val="clear"/>
            <w:tcMar>
              <w:top w:type="dxa" w:w="50"/>
              <w:left w:type="dxa" w:w="110"/>
              <w:bottom w:type="dxa" w:w="50"/>
              <w:right w:type="dxa" w:w="110"/>
            </w:tcMar>
          </w:tcPr>
          <w:p>
            <w:pPr>
              <w:spacing w:before="46" w:after="46"/>
            </w:pPr>
            <w:r>
              <w:rPr>
                <w:b/>
                <w:bCs/>
                <w:color w:val="8186EF"/>
                <w:sz w:val="14"/>
                <w:szCs w:val="14"/>
              </w:rPr>
              <w:t xml:space="preserve">(5)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claim and its evidence sit together   ·   It can imply precision the data lacks   ·   It never establishes cause   ·   A wrong shape is remembered just as well   ·   Thousands of trials in one picture   ·   It can suggest patterns that are coincidence</w:t>
            </w:r>
          </w:p>
        </w:tc>
      </w:tr>
    </w:tbl>
    <w:p/>
    <w:p>
      <w:pPr>
        <w:spacing w:before="44" w:after="14"/>
      </w:pPr>
      <w:r>
        <w:rPr>
          <w:b/>
          <w:bCs/>
          <w:color w:val="353A7C"/>
          <w:sz w:val="18"/>
          <w:szCs w:val="18"/>
        </w:rPr>
        <w:t xml:space="preserve">Summary 1</w:t>
      </w:r>
      <w:r>
        <w:rPr>
          <w:color w:val="6B7280"/>
          <w:sz w:val="16"/>
          <w:szCs w:val="16"/>
        </w:rPr>
        <w:t xml:space="preserve">      gaps 6–11</w:t>
      </w:r>
    </w:p>
    <w:p>
      <w:pPr>
        <w:spacing w:before="20" w:after="20" w:line="360" w:lineRule="auto"/>
        <w:ind w:left="200"/>
      </w:pPr>
      <w:r>
        <w:rPr>
          <w:sz w:val="19"/>
          <w:szCs w:val="19"/>
        </w:rPr>
        <w:t xml:space="preserve">The first pair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argument. </w:t>
      </w:r>
      <w:r>
        <w:rPr>
          <w:sz w:val="19"/>
          <w:szCs w:val="19"/>
        </w:rPr>
        <w:t xml:space="preserve">The eye reads a pattern in a second that a table would take minutes to yield. </w:t>
      </w:r>
      <w:r>
        <w:rPr>
          <w:sz w:val="19"/>
          <w:szCs w:val="19"/>
        </w:rPr>
        <w:t xml:space="preserve">That same speed is why a distorted chart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before anybody has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axis. </w:t>
      </w:r>
      <w:r>
        <w:rPr>
          <w:sz w:val="19"/>
          <w:szCs w:val="19"/>
        </w:rPr>
        <w:t xml:space="preserve">Speed is the benefit and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together. </w:t>
      </w:r>
      <w:r>
        <w:rPr>
          <w:sz w:val="19"/>
          <w:szCs w:val="19"/>
        </w:rPr>
        <w:t xml:space="preserve">The last limitation is the one Part IV has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A chart showing two series moving together is a picture of 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danger   ·   repeated   ·   carries   ·   association   ·   together   ·   checked   ·   persuades</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18.4  What a picture can and cannot do</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It can imply precision the data lacks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persuades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It can suggest patterns that are coincidence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checked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Thousands of trials in one picture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danger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 wrong shape is remembered just as well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repeated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It never establishes cause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association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carries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first pair carries the argument. The eye reads a pattern in a second that a table would take minutes to yield. That same speed is why a distorted chart persuades before anybody has checked the axis. Speed is the benefit and the danger together. The last limitation is the one Part IV has repeated. A chart showing two series moving together is a picture of an association.</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18.5  Communicating the result</w:t>
            </w:r>
          </w:p>
          <w:p>
            <w:pPr>
              <w:spacing w:before="0" w:after="46"/>
            </w:pPr>
            <w:r>
              <w:rPr>
                <w:color w:val="E8EAF6"/>
                <w:sz w:val="16"/>
                <w:szCs w:val="16"/>
              </w:rPr>
              <w:t xml:space="preserve">Chapter 18 · section 18.5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1–11</w:t>
      </w:r>
    </w:p>
    <w:p>
      <w:pPr>
        <w:spacing w:before="20" w:after="20" w:line="360" w:lineRule="auto"/>
        <w:ind w:left="200"/>
      </w:pPr>
      <w:r>
        <w:rPr>
          <w:sz w:val="19"/>
          <w:szCs w:val="19"/>
        </w:rPr>
        <w:t xml:space="preserve">An exhibit has to carry its meaning to someone who did not do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and will not ask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single change is in the title. </w:t>
      </w:r>
      <w:r>
        <w:rPr>
          <w:sz w:val="19"/>
          <w:szCs w:val="19"/>
        </w:rPr>
        <w:t xml:space="preserve">A title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axes leaves the reader to work out what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and some will not. </w:t>
      </w:r>
      <w:r>
        <w:rPr>
          <w:sz w:val="19"/>
          <w:szCs w:val="19"/>
        </w:rPr>
        <w:t xml:space="preserve">A title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finding tells them what to look for, and the chart then has one job: to show that the claim is true. </w:t>
      </w:r>
      <w:r>
        <w:rPr>
          <w:sz w:val="19"/>
          <w:szCs w:val="19"/>
        </w:rPr>
        <w:t xml:space="preserve">The other three rules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from it. </w:t>
      </w:r>
      <w:r>
        <w:rPr>
          <w:sz w:val="19"/>
          <w:szCs w:val="19"/>
        </w:rPr>
        <w:t xml:space="preserve">One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per exhibit, because a chart saying three things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says none. </w:t>
      </w:r>
      <w:r>
        <w:rPr>
          <w:sz w:val="19"/>
          <w:szCs w:val="19"/>
        </w:rPr>
        <w:t xml:space="preserve">The chart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title, by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part that carries the claim. </w:t>
      </w:r>
      <w:r>
        <w:rPr>
          <w:sz w:val="19"/>
          <w:szCs w:val="19"/>
        </w:rPr>
        <w:t xml:space="preserve">And the caveat is shown rather than hidden, because an audience that discovers an omission later distrusts everything else.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naming   ·   because   ·   analysis   ·   strongest   ·   matters   ·   highlighting   ·   supports   ·   stating   ·   follow   ·   message   ·   questions   ·   usually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75"/>
        <w:gridCol w:w="492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3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6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35"/>
            <w:tcMar>
              <w:top w:type="dxa" w:w="50"/>
              <w:left w:type="dxa" w:w="110"/>
              <w:bottom w:type="dxa" w:w="50"/>
              <w:right w:type="dxa" w:w="110"/>
            </w:tcMar>
          </w:tcPr>
          <w:p>
            <w:pPr>
              <w:spacing w:before="26" w:after="26"/>
            </w:pPr>
            <w:r>
              <w:rPr>
                <w:color w:val="232733"/>
                <w:sz w:val="16"/>
                <w:szCs w:val="16"/>
              </w:rPr>
              <w:t xml:space="preserve">data visualization</w:t>
            </w:r>
          </w:p>
        </w:tc>
        <w:tc>
          <w:tcPr>
            <w:tcW w:type="pct" w:w="2565"/>
            <w:tcMar>
              <w:top w:type="dxa" w:w="50"/>
              <w:left w:type="dxa" w:w="110"/>
              <w:bottom w:type="dxa" w:w="50"/>
              <w:right w:type="dxa" w:w="110"/>
            </w:tcMar>
          </w:tcPr>
          <w:p>
            <w:pPr>
              <w:spacing w:before="26" w:after="26"/>
            </w:pPr>
            <w:r>
              <w:rPr>
                <w:color w:val="232733"/>
                <w:sz w:val="16"/>
                <w:szCs w:val="16"/>
              </w:rPr>
              <w:t xml:space="preserve">العرض المرئي للبيانات</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18.5  Communicating the result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follow</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message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strongest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usually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naming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supports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matters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highlighting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stating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An exhibit has to carry its meaning to someone who did not do the analysis and will not ask questions. The strongest single change is in the title. A title naming the axes leaves the reader to work out what matters, and some will not. A title stating the finding tells them what to look for, and the chart then has one job: to show that the claim is true. The other three rules follow from it. One message per exhibit, because a chart saying three things usually says none. The chart supports the title, by highlighting the part that carries the claim. And the caveat is shown rather than hidden, because an audience that discovers an omission later distrusts everything else.</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18.6  Extended Example 18A: presenting the Gulf decision to the board</w:t>
            </w:r>
          </w:p>
          <w:p>
            <w:pPr>
              <w:spacing w:before="0" w:after="46"/>
            </w:pPr>
            <w:r>
              <w:rPr>
                <w:color w:val="E8EAF6"/>
                <w:sz w:val="16"/>
                <w:szCs w:val="16"/>
              </w:rPr>
              <w:t xml:space="preserve">Chapter 18 · section 18.6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F.4.cc is a Level C outcome, so the exam asks you to choose between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options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choice. </w:t>
      </w:r>
      <w:r>
        <w:rPr>
          <w:sz w:val="19"/>
          <w:szCs w:val="19"/>
        </w:rPr>
        <w:t xml:space="preserve">This example does that for the decision. </w:t>
      </w:r>
      <w:r>
        <w:rPr>
          <w:sz w:val="19"/>
          <w:szCs w:val="19"/>
        </w:rPr>
        <w:t xml:space="preserve">The board must see three things: that 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expected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1,047,500, that the realistic range runs from 539,260 to 1,503,517, and that even the low end covers the fixed cost. </w:t>
      </w:r>
      <w:r>
        <w:rPr>
          <w:sz w:val="19"/>
          <w:szCs w:val="19"/>
        </w:rPr>
        <w:t xml:space="preserve">Three facts, and the decision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from them. </w:t>
      </w:r>
      <w:r>
        <w:rPr>
          <w:sz w:val="19"/>
          <w:szCs w:val="19"/>
        </w:rPr>
        <w:t xml:space="preserve">A table of 1,000 trial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shows everything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nothing. </w:t>
      </w:r>
      <w:r>
        <w:rPr>
          <w:sz w:val="19"/>
          <w:szCs w:val="19"/>
        </w:rPr>
        <w:t xml:space="preserve">A single number is what the finance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already tried, and it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question about the worst case. </w:t>
      </w:r>
      <w:r>
        <w:rPr>
          <w:sz w:val="19"/>
          <w:szCs w:val="19"/>
        </w:rPr>
        <w:t xml:space="preserve">A pie chart has no role here,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nothing is a share of a whole. </w:t>
      </w:r>
      <w:r>
        <w:rPr>
          <w:sz w:val="19"/>
          <w:szCs w:val="19"/>
        </w:rPr>
        <w:t xml:space="preserve">A histogram of the simulated outcomes, as, with the fifth and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percentiles marked and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line drawn across it. </w:t>
      </w:r>
      <w:r>
        <w:rPr>
          <w:sz w:val="19"/>
          <w:szCs w:val="19"/>
        </w:rPr>
        <w:t xml:space="preserve">The shape answers the worst-case question visually, and the marked percentiles answer it numerically.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results   ·   director   ·   fixed-cost   ·   estimated   ·   contribute   ·   communicates   ·   ninety-fifth   ·   follows   ·   because   ·   expansion   ·   defend   ·   provoked   ·   visualization</w:t>
            </w:r>
          </w:p>
        </w:tc>
      </w:tr>
    </w:tbl>
    <w:p/>
    <w:p>
      <w:pPr>
        <w:spacing w:before="44" w:after="14"/>
      </w:pPr>
      <w:r>
        <w:rPr>
          <w:b/>
          <w:bCs/>
          <w:color w:val="353A7C"/>
          <w:sz w:val="18"/>
          <w:szCs w:val="18"/>
        </w:rPr>
        <w:t xml:space="preserve">Summary 2</w:t>
      </w:r>
      <w:r>
        <w:rPr>
          <w:color w:val="6B7280"/>
          <w:sz w:val="16"/>
          <w:szCs w:val="16"/>
        </w:rPr>
        <w:t xml:space="preserve">      gaps 13–20</w:t>
      </w:r>
    </w:p>
    <w:p>
      <w:pPr>
        <w:spacing w:before="20" w:after="20" w:line="360" w:lineRule="auto"/>
        <w:ind w:left="200"/>
      </w:pPr>
      <w:r>
        <w:rPr>
          <w:sz w:val="19"/>
          <w:szCs w:val="19"/>
        </w:rPr>
        <w:t xml:space="preserve">Not 'Distribution of simulated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closer to: even the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tenth of outcomes covers the fixed cost. </w:t>
      </w:r>
      <w:r>
        <w:rPr>
          <w:sz w:val="19"/>
          <w:szCs w:val="19"/>
        </w:rPr>
        <w:t xml:space="preserve">That is the finding, and the chart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show that it is true. </w:t>
      </w:r>
      <w:r>
        <w:rPr>
          <w:sz w:val="19"/>
          <w:szCs w:val="19"/>
        </w:rPr>
        <w:t xml:space="preserve">A line under the chart recording that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were estimated by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rather than measured.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horizontal axis to begin at the fifth percentile, which would make every outcome look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w:t>
      </w:r>
      <w:r>
        <w:rPr>
          <w:sz w:val="19"/>
          <w:szCs w:val="19"/>
        </w:rPr>
        <w:t xml:space="preserve">Or drawing only the mean, which is what started the argument. </w:t>
      </w:r>
      <w:r>
        <w:rPr>
          <w:sz w:val="19"/>
          <w:szCs w:val="19"/>
        </w:rPr>
        <w:t xml:space="preserve">Both would be defensible in the sense that no number would be false.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comfortable   ·   pessimistic   ·   contribution   ·   management   ·   Something   ·   probabilities   ·   visualization   ·   exists   ·   Truncating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Choose four forms</w:t>
            </w:r>
          </w:p>
        </w:tc>
      </w:tr>
    </w:tbl>
    <w:p/>
    <w:p>
      <w:pPr>
        <w:spacing w:before="20" w:after="20" w:line="360" w:lineRule="auto"/>
        <w:ind w:left="200"/>
      </w:pPr>
      <w:r>
        <w:rPr>
          <w:sz w:val="19"/>
          <w:szCs w:val="19"/>
        </w:rPr>
        <w:t xml:space="preserve">Complete the blank cells.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choose four forms (complete the blanks)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What must be shown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Which form?</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2042"/>
            <w:tcMar>
              <w:top w:type="dxa" w:w="50"/>
              <w:left w:type="dxa" w:w="110"/>
              <w:bottom w:type="dxa" w:w="50"/>
              <w:right w:type="dxa" w:w="110"/>
            </w:tcMar>
          </w:tcPr>
          <w:p>
            <w:pPr>
              <w:spacing w:before="28" w:after="28"/>
            </w:pPr>
            <w:r>
              <w:rPr>
                <w:sz w:val="15"/>
                <w:szCs w:val="15"/>
              </w:rPr>
              <w:t xml:space="preserve">A relationship between two variables</w:t>
            </w:r>
          </w:p>
        </w:tc>
        <w:tc>
          <w:tcPr>
            <w:tcW w:type="pct" w:w="758"/>
            <w:tcMar>
              <w:top w:type="dxa" w:w="50"/>
              <w:left w:type="dxa" w:w="110"/>
              <w:bottom w:type="dxa" w:w="50"/>
              <w:right w:type="dxa" w:w="110"/>
            </w:tcMar>
          </w:tcPr>
          <w:p>
            <w:pPr>
              <w:spacing w:before="28" w:after="28"/>
            </w:pPr>
            <w:r>
              <w:rPr>
                <w:sz w:val="15"/>
                <w:szCs w:val="15"/>
              </w:rPr>
              <w:t xml:space="preserve">A scatter plot</w:t>
            </w:r>
          </w:p>
        </w:tc>
        <w:tc>
          <w:tcPr>
            <w:tcW w:type="pct" w:w="2200"/>
            <w:tcMar>
              <w:top w:type="dxa" w:w="50"/>
              <w:left w:type="dxa" w:w="110"/>
              <w:bottom w:type="dxa" w:w="50"/>
              <w:right w:type="dxa" w:w="110"/>
            </w:tcMar>
          </w:tcPr>
          <w:p>
            <w:pPr>
              <w:spacing w:before="28" w:after="28"/>
            </w:pPr>
            <w:r>
              <w:rPr>
                <w:sz w:val="15"/>
                <w:szCs w:val="15"/>
              </w:rPr>
              <w:t xml:space="preserve">Each point is one </w:t>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placed against both variables</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A trend over eight quarters</w:t>
            </w:r>
          </w:p>
        </w:tc>
        <w:tc>
          <w:tcPr>
            <w:tcW w:type="pct" w:w="758"/>
            <w:shd w:fill="FBFAF6" w:val="clear"/>
            <w:tcMar>
              <w:top w:type="dxa" w:w="50"/>
              <w:left w:type="dxa" w:w="110"/>
              <w:bottom w:type="dxa" w:w="50"/>
              <w:right w:type="dxa" w:w="110"/>
            </w:tcMar>
          </w:tcPr>
          <w:p>
            <w:pPr>
              <w:spacing w:before="28" w:after="28"/>
            </w:pPr>
            <w:r>
              <w:rPr>
                <w:sz w:val="15"/>
                <w:szCs w:val="15"/>
              </w:rPr>
              <w:t xml:space="preserve">Line chart</w:t>
            </w:r>
          </w:p>
        </w:tc>
        <w:tc>
          <w:tcPr>
            <w:tcW w:type="pct" w:w="2200"/>
            <w:shd w:fill="FBFAF6" w:val="clear"/>
            <w:tcMar>
              <w:top w:type="dxa" w:w="50"/>
              <w:left w:type="dxa" w:w="110"/>
              <w:bottom w:type="dxa" w:w="50"/>
              <w:right w:type="dxa" w:w="110"/>
            </w:tcMar>
          </w:tcPr>
          <w:p>
            <w:pPr>
              <w:spacing w:before="28" w:after="28"/>
            </w:pPr>
            <w:r>
              <w:rPr>
                <w:sz w:val="15"/>
                <w:szCs w:val="15"/>
              </w:rPr>
              <w:t xml:space="preserve">A line chart shows movement over time, and the slope between points carries the message</w:t>
            </w:r>
          </w:p>
        </w:tc>
      </w:tr>
      <w:tr>
        <w:tc>
          <w:tcPr>
            <w:tcW w:type="pct" w:w="2042"/>
            <w:tcMar>
              <w:top w:type="dxa" w:w="50"/>
              <w:left w:type="dxa" w:w="110"/>
              <w:bottom w:type="dxa" w:w="50"/>
              <w:right w:type="dxa" w:w="110"/>
            </w:tcMar>
          </w:tcPr>
          <w:p>
            <w:pPr>
              <w:spacing w:before="28" w:after="28"/>
            </w:pPr>
            <w:r>
              <w:rPr>
                <w:sz w:val="15"/>
                <w:szCs w:val="15"/>
              </w:rPr>
              <w:t xml:space="preserve">The distribution of 1,000 simulated outcomes</w:t>
            </w:r>
          </w:p>
        </w:tc>
        <w:tc>
          <w:tcPr>
            <w:tcW w:type="pct" w:w="758"/>
            <w:tcMar>
              <w:top w:type="dxa" w:w="50"/>
              <w:left w:type="dxa" w:w="110"/>
              <w:bottom w:type="dxa" w:w="50"/>
              <w:right w:type="dxa" w:w="110"/>
            </w:tcMar>
          </w:tcPr>
          <w:p>
            <w:pPr>
              <w:spacing w:before="28" w:after="28"/>
            </w:pPr>
            <w:r>
              <w:rPr>
                <w:sz w:val="15"/>
                <w:szCs w:val="15"/>
              </w:rPr>
              <w:t xml:space="preserve">A histogram</w:t>
            </w:r>
          </w:p>
        </w:tc>
        <w:tc>
          <w:tcPr>
            <w:tcW w:type="pct" w:w="2200"/>
            <w:tcMar>
              <w:top w:type="dxa" w:w="50"/>
              <w:left w:type="dxa" w:w="110"/>
              <w:bottom w:type="dxa" w:w="50"/>
              <w:right w:type="dxa" w:w="110"/>
            </w:tcMar>
          </w:tcPr>
          <w:p>
            <w:pPr>
              <w:spacing w:before="28" w:after="28"/>
            </w:pPr>
            <w:r>
              <w:rPr>
                <w:sz w:val="15"/>
                <w:szCs w:val="15"/>
              </w:rPr>
              <w:t xml:space="preserve">It shows the shape of the distribution and the spread around its centre</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Exact figures the reader will read off</w:t>
            </w:r>
          </w:p>
        </w:tc>
        <w:tc>
          <w:tcPr>
            <w:tcW w:type="pct" w:w="758"/>
            <w:shd w:fill="FBFAF6" w:val="clear"/>
            <w:tcMar>
              <w:top w:type="dxa" w:w="50"/>
              <w:left w:type="dxa" w:w="110"/>
              <w:bottom w:type="dxa" w:w="50"/>
              <w:right w:type="dxa" w:w="110"/>
            </w:tcMar>
          </w:tcPr>
          <w:p>
            <w:pPr>
              <w:spacing w:before="28" w:after="28"/>
            </w:pPr>
            <w:r>
              <w:rPr>
                <w:sz w:val="15"/>
                <w:szCs w:val="15"/>
              </w:rPr>
              <w:t xml:space="preserve">A table</w:t>
            </w:r>
          </w:p>
        </w:tc>
        <w:tc>
          <w:tcPr>
            <w:tcW w:type="pct" w:w="2200"/>
            <w:shd w:fill="FBFAF6" w:val="clear"/>
            <w:tcMar>
              <w:top w:type="dxa" w:w="50"/>
              <w:left w:type="dxa" w:w="110"/>
              <w:bottom w:type="dxa" w:w="50"/>
              <w:right w:type="dxa" w:w="110"/>
            </w:tcMar>
          </w:tcPr>
          <w:p>
            <w:pPr>
              <w:spacing w:before="28" w:after="28"/>
            </w:pPr>
            <w:r>
              <w:rPr>
                <w:sz w:val="15"/>
                <w:szCs w:val="15"/>
              </w:rPr>
              <w:t xml:space="preserve">Where </w:t>
            </w:r>
            <w:r>
              <w:rPr>
                <w:b/>
                <w:bCs/>
                <w:color w:val="8186EF"/>
                <w:sz w:val="14"/>
                <w:szCs w:val="14"/>
              </w:rPr>
              <w:t xml:space="preserve"> (22) </w:t>
            </w:r>
            <w:r>
              <w:rPr>
                <w:u w:val="single"/>
                <w:sz w:val="15"/>
                <w:szCs w:val="15"/>
              </w:rPr>
              <w:t xml:space="preserve">              </w:t>
            </w:r>
            <w:r>
              <w:rPr>
                <w:sz w:val="15"/>
                <w:szCs w:val="15"/>
              </w:rPr>
              <w:t xml:space="preserve"> </w:t>
            </w:r>
            <w:r>
              <w:rPr>
                <w:sz w:val="15"/>
                <w:szCs w:val="15"/>
              </w:rPr>
              <w:t xml:space="preserve"> matters more than shape, a table beats any chart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observation   ·   precision   ·   movement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choice</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23–26</w:t>
      </w:r>
    </w:p>
    <w:p>
      <w:pPr>
        <w:spacing w:before="20" w:after="20" w:line="360" w:lineRule="auto"/>
        <w:ind w:left="200"/>
      </w:pPr>
      <w:r>
        <w:rPr>
          <w:sz w:val="19"/>
          <w:szCs w:val="19"/>
        </w:rPr>
        <w:t xml:space="preserve">Start from what the reader must see, not from what the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produced. </w:t>
      </w:r>
      <w:r>
        <w:rPr>
          <w:sz w:val="19"/>
          <w:szCs w:val="19"/>
        </w:rPr>
        <w:t xml:space="preserve"/>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the options that show everything or show too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and say why. </w:t>
      </w:r>
      <w:r>
        <w:rPr>
          <w:sz w:val="19"/>
          <w:szCs w:val="19"/>
        </w:rPr>
        <w:t xml:space="preserve">Title the exhibit with the finding, not with the axes. </w:t>
      </w:r>
      <w:r>
        <w:rPr>
          <w:sz w:val="19"/>
          <w:szCs w:val="19"/>
        </w:rPr>
        <w:t xml:space="preserve">Put the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on the exhibit, where it will be read.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caveat   ·   argument   ·   Reject   ·   little   ·   analysis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27–30</w:t>
      </w:r>
    </w:p>
    <w:p>
      <w:pPr>
        <w:spacing w:before="20" w:after="20" w:line="360" w:lineRule="auto"/>
        <w:ind w:left="200"/>
      </w:pPr>
      <w:r>
        <w:rPr>
          <w:sz w:val="19"/>
          <w:szCs w:val="19"/>
        </w:rPr>
        <w:t xml:space="preserve">A Level C question gives a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and several chart options. </w:t>
      </w:r>
      <w:r>
        <w:rPr>
          <w:sz w:val="19"/>
          <w:szCs w:val="19"/>
        </w:rPr>
        <w:t xml:space="preserve">Name what the reader must see, choose the form that shows it, and say what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options would have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to convey. </w:t>
      </w:r>
      <w:r>
        <w:rPr>
          <w:sz w:val="19"/>
          <w:szCs w:val="19"/>
        </w:rPr>
        <w:t xml:space="preserve">Choosing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without the reason earns less than the reason deserves.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failed   ·   situation   ·   rejected   ·   Choosing   ·   correctly</w:t>
            </w:r>
          </w:p>
        </w:tc>
      </w:tr>
    </w:tbl>
    <w:p/>
    <w:p>
      <w:pPr>
        <w:spacing w:before="44" w:after="10"/>
      </w:pPr>
      <w:r>
        <w:rPr>
          <w:b/>
          <w:bCs/>
          <w:color w:val="353A7C"/>
          <w:sz w:val="18"/>
          <w:szCs w:val="18"/>
        </w:rPr>
        <w:t xml:space="preserve">Exam view</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Two charts and two messages on one slide   ·   The bar chart's axis begins at 205,000   ·   The title names the axes rather than the finding</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18.6  Extended Example 18A: presenting the Gulf decision to the board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visualization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probabilities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defend</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management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expansion</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Truncating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contribute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comfortable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observation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results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precision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communicates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director</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Reject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provoked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little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because</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caveat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ninety-fifth</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situation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fixed-cost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rejected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contribution</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failed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Something</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correctly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pessimistic</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Two charts and two messages on one slide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exists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The title names the axes rather than the finding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F.4.cc is a Level C outcome, so the exam asks you to choose between visualization options and defend the choice. This example does that for the decision. The board must see three things: that the expansion is expected to contribute 1,047,500, that the realistic range runs from 539,260 to 1,503,517, and that even the low end covers the fixed cost. Three facts, and the decision follows from them. A table of 1,000 trial results shows everything and communicates nothing. A single number is what the finance director already tried, and it provoked the question about the worst case. A pie chart has no role here, because nothing is a share of a whole. A histogram of the simulated outcomes, as, with the fifth and ninety-fifth percentiles marked and the fixed-cost line drawn across it. The shape answers the worst-case question visually, and the marked percentiles answer it numerically.</w:t>
      </w:r>
    </w:p>
    <w:p>
      <w:pPr>
        <w:spacing w:before="20" w:after="20"/>
        <w:ind w:left="240" w:hanging="240"/>
      </w:pPr>
      <w:r>
        <w:rPr>
          <w:b/>
          <w:bCs/>
          <w:color w:val="353A7C"/>
          <w:sz w:val="15"/>
          <w:szCs w:val="15"/>
        </w:rPr>
        <w:t xml:space="preserve">Summary 2   </w:t>
      </w:r>
      <w:r>
        <w:rPr>
          <w:color w:val="6B7280"/>
          <w:sz w:val="15"/>
          <w:szCs w:val="15"/>
        </w:rPr>
        <w:t xml:space="preserve">Not 'Distribution of simulated contribution'. Something closer to: even the pessimistic tenth of outcomes covers the fixed cost. That is the finding, and the chart exists to show that it is true. A line under the chart recording that the probabilities were estimated by management rather than measured. Truncating the horizontal axis to begin at the fifth percentile, which would make every outcome look comfortable. Or drawing only the mean, which is what started the argument. Both would be defensible in the sense that no number would be false.</w:t>
      </w:r>
    </w:p>
    <w:p>
      <w:pPr>
        <w:spacing w:before="20" w:after="20"/>
        <w:ind w:left="240" w:hanging="240"/>
      </w:pPr>
      <w:r>
        <w:rPr>
          <w:b/>
          <w:bCs/>
          <w:color w:val="353A7C"/>
          <w:sz w:val="15"/>
          <w:szCs w:val="15"/>
        </w:rPr>
        <w:t xml:space="preserve">Summary 3   </w:t>
      </w:r>
      <w:r>
        <w:rPr>
          <w:color w:val="6B7280"/>
          <w:sz w:val="15"/>
          <w:szCs w:val="15"/>
        </w:rPr>
        <w:t xml:space="preserve">Start from what the reader must see, not from what the analysis produced. Reject the options that show everything or show too little, and say why. Title the exhibit with the finding, not with the axes. Put the caveat on the exhibit, where it will be read.</w:t>
      </w:r>
    </w:p>
    <w:p>
      <w:pPr>
        <w:spacing w:before="20" w:after="20"/>
        <w:ind w:left="240" w:hanging="240"/>
      </w:pPr>
      <w:r>
        <w:rPr>
          <w:b/>
          <w:bCs/>
          <w:color w:val="353A7C"/>
          <w:sz w:val="15"/>
          <w:szCs w:val="15"/>
        </w:rPr>
        <w:t xml:space="preserve">Summary 4   </w:t>
      </w:r>
      <w:r>
        <w:rPr>
          <w:color w:val="6B7280"/>
          <w:sz w:val="15"/>
          <w:szCs w:val="15"/>
        </w:rPr>
        <w:t xml:space="preserve">A Level C question gives a situation and several chart options. Name what the reader must see, choose the form that shows it, and say what the rejected options would have failed to convey. Choosing correctly without the reason earns less than the reason deserves.</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18.1 · Choosing the form</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18.2 · How a true chart misleads</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18.3 · Design practices worth following</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18.4 · What a picture can and cannot do</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18.5 · Communicating the result</w:t>
          </w:r>
        </w:p>
      </w:tc>
      <w:tc>
        <w:tcPr>
          <w:tcW w:type="pct" w:w="1400"/>
          <w:tcMar>
            <w:top w:type="dxa" w:w="-30"/>
            <w:left w:type="dxa" w:w="30"/>
            <w:bottom w:type="dxa" w:w="-30"/>
            <w:right w:type="dxa" w:w="30"/>
          </w:tcMar>
        </w:tcPr>
        <w:p>
          <w:pPr>
            <w:jc w:val="right"/>
          </w:pPr>
          <w:r>
            <w:rPr>
              <w:color w:val="6B7280"/>
              <w:sz w:val="16"/>
              <w:szCs w:val="16"/>
            </w:rPr>
            <w:t xml:space="preserve">Handout 18.5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18.6 · Extended Example 18A: presenting the Gulf decision to the board</w:t>
          </w:r>
        </w:p>
      </w:tc>
      <w:tc>
        <w:tcPr>
          <w:tcW w:type="pct" w:w="1400"/>
          <w:tcMar>
            <w:top w:type="dxa" w:w="-30"/>
            <w:left w:type="dxa" w:w="30"/>
            <w:bottom w:type="dxa" w:w="-30"/>
            <w:right w:type="dxa" w:w="30"/>
          </w:tcMar>
        </w:tcPr>
        <w:p>
          <w:pPr>
            <w:jc w:val="right"/>
          </w:pPr>
          <w:r>
            <w:rPr>
              <w:color w:val="6B7280"/>
              <w:sz w:val="16"/>
              <w:szCs w:val="16"/>
            </w:rPr>
            <w:t xml:space="preserve">Handout 18.6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3e5fe131712ec6a71a941ec43e13f4f375d7628d.png" Type="http://schemas.openxmlformats.org/officeDocument/2006/relationships/image"/><Relationship Id="rId102" Target="media/449ae05295c2b34836bfbfb63377da3d4b2c0d20.png" Type="http://schemas.openxmlformats.org/officeDocument/2006/relationships/image"/><Relationship Id="rId103" Target="media/db7a9f453bf0edcd3516b81d6d815d4b5ee374d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18</dc:title>
  <dc:subject>Summary handouts</dc:subject>
  <cp:category>Student Book</cp:category>
</cp:coreProperties>
</file>