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incidental   ·   different   ·   statement   ·   position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issuing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affects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receivable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account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Rows 1 to 3 are done for you. </w:t>
      </w:r>
      <w:r>
        <w:rPr>
          <w:sz w:val="19"/>
          <w:szCs w:val="19"/>
        </w:rPr>
        <w:t xml:space="preserve"/>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42–43</w:t>
      </w:r>
    </w:p>
    <w:p>
      <w:pPr>
        <w:spacing w:before="20" w:after="20" w:line="360" w:lineRule="auto"/>
        <w:ind w:left="200"/>
      </w:pPr>
      <w:r>
        <w:rPr>
          <w:sz w:val="19"/>
          <w:szCs w:val="19"/>
        </w:rPr>
        <w:t xml:space="preserve">X is debited (or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Whether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ab0274cc721aec522d6b552b42df94bd71405a.png" Type="http://schemas.openxmlformats.org/officeDocument/2006/relationships/image"/><Relationship Id="rId105" Target="media/ee850982fcdb7396c23f1f5394785c09793d16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