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whether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Net sales</w:t>
            </w:r>
          </w:p>
        </w:tc>
        <w:tc>
          <w:tcPr>
            <w:tcW w:type="pct" w:w="2400"/>
            <w:tcMar>
              <w:top w:type="dxa" w:w="50"/>
              <w:left w:type="dxa" w:w="110"/>
              <w:bottom w:type="dxa" w:w="50"/>
              <w:right w:type="dxa" w:w="110"/>
            </w:tcMar>
          </w:tcPr>
          <w:p>
            <w:pPr>
              <w:spacing w:before="28" w:after="28"/>
            </w:pPr>
            <w:r>
              <w:rPr>
                <w:sz w:val="15"/>
                <w:szCs w:val="15"/>
              </w:rPr>
              <w:t xml:space="preserve">42,000,000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14,700,000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Selling, general and administrative</w:t>
            </w:r>
          </w:p>
        </w:tc>
        <w:tc>
          <w:tcPr>
            <w:tcW w:type="pct" w:w="2400"/>
            <w:tcMar>
              <w:top w:type="dxa" w:w="50"/>
              <w:left w:type="dxa" w:w="110"/>
              <w:bottom w:type="dxa" w:w="50"/>
              <w:right w:type="dxa" w:w="110"/>
            </w:tcMar>
          </w:tcPr>
          <w:p>
            <w:pPr>
              <w:spacing w:before="28" w:after="28"/>
            </w:pPr>
            <w:r>
              <w:rPr>
                <w:sz w:val="15"/>
                <w:szCs w:val="15"/>
              </w:rPr>
              <w:t xml:space="preserve">(7,237,000)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400"/>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(10,524,000)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00"/>
            <w:tcMar>
              <w:top w:type="dxa" w:w="50"/>
              <w:left w:type="dxa" w:w="110"/>
              <w:bottom w:type="dxa" w:w="50"/>
              <w:right w:type="dxa" w:w="110"/>
            </w:tcMar>
          </w:tcPr>
          <w:p>
            <w:pPr>
              <w:spacing w:before="28" w:after="28"/>
            </w:pPr>
            <w:r>
              <w:rPr>
                <w:sz w:val="15"/>
                <w:szCs w:val="15"/>
              </w:rPr>
              <w:t xml:space="preserve">Other income and (expense)</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Interest and dividend income</w:t>
            </w:r>
          </w:p>
        </w:tc>
        <w:tc>
          <w:tcPr>
            <w:tcW w:type="pct" w:w="2400"/>
            <w:tcMar>
              <w:top w:type="dxa" w:w="50"/>
              <w:left w:type="dxa" w:w="110"/>
              <w:bottom w:type="dxa" w:w="50"/>
              <w:right w:type="dxa" w:w="110"/>
            </w:tcMar>
          </w:tcPr>
          <w:p>
            <w:pPr>
              <w:spacing w:before="28" w:after="28"/>
            </w:pPr>
            <w:r>
              <w:rPr>
                <w:sz w:val="15"/>
                <w:szCs w:val="15"/>
              </w:rPr>
              <w:t xml:space="preserve">3,800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177,000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2,969,100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400"/>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00"/>
            <w:tcMar>
              <w:top w:type="dxa" w:w="50"/>
              <w:left w:type="dxa" w:w="110"/>
              <w:bottom w:type="dxa" w:w="50"/>
              <w:right w:type="dxa" w:w="110"/>
            </w:tcMar>
          </w:tcPr>
          <w:p>
            <w:pPr>
              <w:spacing w:before="28" w:after="28"/>
            </w:pPr>
            <w:r>
              <w:rPr>
                <w:sz w:val="15"/>
                <w:szCs w:val="15"/>
              </w:rPr>
              <w:t xml:space="preserve">Weighted-average shares outstanding</w:t>
            </w:r>
          </w:p>
        </w:tc>
        <w:tc>
          <w:tcPr>
            <w:tcW w:type="pct" w:w="2400"/>
            <w:tcMar>
              <w:top w:type="dxa" w:w="50"/>
              <w:left w:type="dxa" w:w="110"/>
              <w:bottom w:type="dxa" w:w="50"/>
              <w:right w:type="dxa" w:w="110"/>
            </w:tcMar>
          </w:tcPr>
          <w:p>
            <w:pPr>
              <w:spacing w:before="28" w:after="28"/>
            </w:pPr>
            <w:r>
              <w:rPr>
                <w:sz w:val="15"/>
                <w:szCs w:val="15"/>
              </w:rPr>
              <w:t xml:space="preserve">8,099,726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400"/>
            <w:tcMar>
              <w:top w:type="dxa" w:w="50"/>
              <w:left w:type="dxa" w:w="110"/>
              <w:bottom w:type="dxa" w:w="50"/>
              <w:right w:type="dxa" w:w="110"/>
            </w:tcMar>
          </w:tcPr>
          <w:p>
            <w:pPr>
              <w:spacing w:before="28" w:after="28"/>
            </w:pPr>
            <w:r>
              <w:rPr>
                <w:sz w:val="15"/>
                <w:szCs w:val="15"/>
              </w:rPr>
              <w:t xml:space="preserve">(1,125)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Gross profit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general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credit losses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follows   ·   administrative   ·   reported   ·   transaction   ·   deducted   ·   impairments   ·   selling   ·   peripheral   ·   incidental   ·   carrying   ·   development</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Gross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research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Interest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Orontes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3,100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(300)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Interest expense</w:t>
            </w:r>
          </w:p>
        </w:tc>
        <w:tc>
          <w:tcPr>
            <w:tcW w:type="pct" w:w="2400"/>
            <w:tcMar>
              <w:top w:type="dxa" w:w="50"/>
              <w:left w:type="dxa" w:w="110"/>
              <w:bottom w:type="dxa" w:w="50"/>
              <w:right w:type="dxa" w:w="110"/>
            </w:tcMar>
          </w:tcPr>
          <w:p>
            <w:pPr>
              <w:spacing w:before="28" w:after="28"/>
            </w:pPr>
            <w:r>
              <w:rPr>
                <w:sz w:val="15"/>
                <w:szCs w:val="15"/>
              </w:rPr>
              <w:t xml:space="preserve">(90)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Gross profit as a percentage of sales</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profit   ·   Wages expense   ·   Sales revenue   ·   Net income   ·   Depreciation expense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impairments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disposal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Accrual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Net sales</w:t>
            </w:r>
          </w:p>
        </w:tc>
        <w:tc>
          <w:tcPr>
            <w:tcW w:type="pct" w:w="2600"/>
            <w:tcMar>
              <w:top w:type="dxa" w:w="50"/>
              <w:left w:type="dxa" w:w="110"/>
              <w:bottom w:type="dxa" w:w="50"/>
              <w:right w:type="dxa" w:w="110"/>
            </w:tcMar>
          </w:tcPr>
          <w:p>
            <w:pPr>
              <w:spacing w:before="28" w:after="28"/>
            </w:pPr>
            <w:r>
              <w:rPr>
                <w:sz w:val="15"/>
                <w:szCs w:val="15"/>
              </w:rPr>
              <w:t xml:space="preserve">3,400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400"/>
            <w:tcMar>
              <w:top w:type="dxa" w:w="50"/>
              <w:left w:type="dxa" w:w="110"/>
              <w:bottom w:type="dxa" w:w="50"/>
              <w:right w:type="dxa" w:w="110"/>
            </w:tcMar>
          </w:tcPr>
          <w:p>
            <w:pPr>
              <w:spacing w:before="28" w:after="28"/>
            </w:pPr>
            <w:r>
              <w:rPr>
                <w:sz w:val="15"/>
                <w:szCs w:val="15"/>
              </w:rPr>
              <w:t xml:space="preserve">Wages expense</w:t>
            </w:r>
          </w:p>
        </w:tc>
        <w:tc>
          <w:tcPr>
            <w:tcW w:type="pct" w:w="2600"/>
            <w:tcMar>
              <w:top w:type="dxa" w:w="50"/>
              <w:left w:type="dxa" w:w="110"/>
              <w:bottom w:type="dxa" w:w="50"/>
              <w:right w:type="dxa" w:w="110"/>
            </w:tcMar>
          </w:tcPr>
          <w:p>
            <w:pPr>
              <w:spacing w:before="28" w:after="28"/>
            </w:pPr>
            <w:r>
              <w:rPr>
                <w:sz w:val="15"/>
                <w:szCs w:val="15"/>
              </w:rPr>
              <w:t xml:space="preserve">560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400"/>
            <w:tcMar>
              <w:top w:type="dxa" w:w="50"/>
              <w:left w:type="dxa" w:w="110"/>
              <w:bottom w:type="dxa" w:w="50"/>
              <w:right w:type="dxa" w:w="110"/>
            </w:tcMar>
          </w:tcPr>
          <w:p>
            <w:pPr>
              <w:spacing w:before="28" w:after="28"/>
            </w:pPr>
            <w:r>
              <w:rPr>
                <w:sz w:val="15"/>
                <w:szCs w:val="15"/>
              </w:rPr>
              <w:t xml:space="preserve">Fire loss (uninsured inventory)</w:t>
            </w:r>
          </w:p>
        </w:tc>
        <w:tc>
          <w:tcPr>
            <w:tcW w:type="pct" w:w="2600"/>
            <w:tcMar>
              <w:top w:type="dxa" w:w="50"/>
              <w:left w:type="dxa" w:w="110"/>
              <w:bottom w:type="dxa" w:w="50"/>
              <w:right w:type="dxa" w:w="110"/>
            </w:tcMar>
          </w:tcPr>
          <w:p>
            <w:pPr>
              <w:spacing w:before="28" w:after="28"/>
            </w:pPr>
            <w:r>
              <w:rPr>
                <w:sz w:val="15"/>
                <w:szCs w:val="15"/>
              </w:rPr>
              <w:t xml:space="preserve">70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400"/>
            <w:tcMar>
              <w:top w:type="dxa" w:w="50"/>
              <w:left w:type="dxa" w:w="110"/>
              <w:bottom w:type="dxa" w:w="50"/>
              <w:right w:type="dxa" w:w="110"/>
            </w:tcMar>
          </w:tcPr>
          <w:p>
            <w:pPr>
              <w:spacing w:before="28" w:after="28"/>
            </w:pPr>
            <w:r>
              <w:rPr>
                <w:sz w:val="15"/>
                <w:szCs w:val="15"/>
              </w:rPr>
              <w:t xml:space="preserve">Interest expense</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00"/>
            <w:shd w:fill="FBFAF6" w:val="clear"/>
            <w:tcMar>
              <w:top w:type="dxa" w:w="50"/>
              <w:left w:type="dxa" w:w="110"/>
              <w:bottom w:type="dxa" w:w="50"/>
              <w:right w:type="dxa" w:w="110"/>
            </w:tcMar>
          </w:tcPr>
          <w:p>
            <w:pPr>
              <w:spacing w:before="28" w:after="28"/>
            </w:pPr>
            <w:r>
              <w:rPr>
                <w:sz w:val="15"/>
                <w:szCs w:val="15"/>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Fire loss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d893ed39d62d80f594cff6c158c76e2880c991.png" Type="http://schemas.openxmlformats.org/officeDocument/2006/relationships/image"/><Relationship Id="rId102" Target="media/f7f05d536e572afa00a2beade0d626b2ca466cfc.png" Type="http://schemas.openxmlformats.org/officeDocument/2006/relationships/image"/><Relationship Id="rId103" Target="media/4c3fa441cc369e817f4f6a6716835197d532c505.png" Type="http://schemas.openxmlformats.org/officeDocument/2006/relationships/image"/><Relationship Id="rId104" Target="media/92e983519e27173f101a38f225c58733cf9262b7.png" Type="http://schemas.openxmlformats.org/officeDocument/2006/relationships/image"/><Relationship Id="rId105" Target="media/74c3341ead4c1174cdd6be8e2f7f4166ec0e3a72.png" Type="http://schemas.openxmlformats.org/officeDocument/2006/relationships/image"/><Relationship Id="rId106" Target="media/82030786494837d1e00a382193d3fee737a62007.png" Type="http://schemas.openxmlformats.org/officeDocument/2006/relationships/image"/><Relationship Id="rId107" Target="media/5f8657749c0b7cca9bff7cd90214cca4deb5c26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dc:title>
  <dc:subject>Summary handouts</dc:subject>
  <cp:category>Student Book</cp:category>
</cp:coreProperties>
</file>