
<file path=[Content_Types].xml><?xml version="1.0" encoding="utf-8"?>
<Types xmlns="http://schemas.openxmlformats.org/package/2006/content-types">
  <Default ContentType="image/png" Extension="png"/>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officedocument.wordprocessingml.numbering+xml" PartName="/word/numbering.xml"/>
  <Override ContentType="application/vnd.openxmlformats-officedocument.wordprocessingml.fontTable+xml" PartName="/word/fontTable.xml"/>
  <Override ContentType="application/vnd.openxmlformats-officedocument.wordprocessingml.settings+xml" PartName="/word/settings.xml"/>
  <Override ContentType="application/vnd.openxmlformats-package.core-properties+xml" PartName="/docProps/cor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header+xml" PartName="/word/header3.xml"/>
  <Override ContentType="application/vnd.openxmlformats-officedocument.wordprocessingml.header+xml" PartName="/word/header4.xml"/>
  <Override ContentType="application/vnd.openxmlformats-officedocument.wordprocessingml.header+xml" PartName="/word/header5.xml"/>
  <Override ContentType="application/vnd.openxmlformats-officedocument.wordprocessingml.header+xml" PartName="/word/header6.xml"/>
  <Override ContentType="application/vnd.openxmlformats-officedocument.wordprocessingml.header+xml" PartName="/word/header7.xml"/>
  <Override ContentType="application/vnd.openxmlformats-officedocument.wordprocessingml.header+xml" PartName="/word/header8.xml"/>
  <Override ContentType="application/vnd.openxmlformats-officedocument.wordprocessingml.header+xml" PartName="/word/header9.xml"/>
  <Override ContentType="application/vnd.openxmlformats-officedocument.wordprocessingml.header+xml" PartName="/word/header10.xml"/>
</Types>
</file>

<file path=_rels/.rels><?xml version="1.0" encoding="UTF-8" standalone="yes"?><Relationships xmlns="http://schemas.openxmlformats.org/package/2006/relationships"><Relationship Id="rId1" Target="word/document.xml" Type="http://schemas.openxmlformats.org/officeDocument/2006/relationships/officeDocument"/><Relationship Id="rId2" Target="docProps/core.xml" Type="http://schemas.openxmlformats.org/package/2006/relationships/metadata/core-properties"/></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body>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5.1  Purpose and structure of the statement of cash flows</w:t>
            </w:r>
          </w:p>
          <w:p>
            <w:pPr>
              <w:spacing w:before="0" w:after="46"/>
            </w:pPr>
            <w:r>
              <w:rPr>
                <w:color w:val="E8EAF6"/>
                <w:sz w:val="16"/>
                <w:szCs w:val="16"/>
              </w:rPr>
              <w:t xml:space="preserve">Chapter 5 · section 5.1</w:t>
            </w:r>
          </w:p>
        </w:tc>
      </w:tr>
    </w:tbl>
    <w:p/>
    <w:p>
      <w:pPr>
        <w:spacing w:before="10" w:after="40"/>
      </w:pPr>
      <w:r>
        <w:rPr>
          <w:color w:val="6B7280"/>
          <w:sz w:val="17"/>
          <w:szCs w:val="17"/>
        </w:rPr>
        <w:t xml:space="preserve">Fill every gap. Each word list holds one word more than there are gaps.</w:t>
      </w:r>
    </w:p>
    <w:p>
      <w:pPr>
        <w:spacing w:before="44" w:after="10"/>
      </w:pPr>
      <w:r>
        <w:rPr>
          <w:b/>
          <w:bCs/>
          <w:color w:val="353A7C"/>
          <w:sz w:val="18"/>
          <w:szCs w:val="18"/>
        </w:rPr>
        <w:t xml:space="preserve">Chapter 5, section by section</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2112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734050" cy="211255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statement of cash flows   ·   Classifying cash flows   ·   Limitations and links between the four stateme</w:t>
            </w:r>
          </w:p>
        </w:tc>
      </w:tr>
    </w:tbl>
    <w:p/>
    <w:p>
      <w:pPr>
        <w:spacing w:before="44" w:after="14"/>
      </w:pPr>
      <w:r>
        <w:rPr>
          <w:b/>
          <w:bCs/>
          <w:color w:val="353A7C"/>
          <w:sz w:val="18"/>
          <w:szCs w:val="18"/>
        </w:rPr>
        <w:t xml:space="preserve">Summary 1</w:t>
      </w:r>
      <w:r>
        <w:rPr>
          <w:color w:val="6B7280"/>
          <w:sz w:val="16"/>
          <w:szCs w:val="16"/>
        </w:rPr>
        <w:t xml:space="preserve">      gaps 3–13</w:t>
      </w:r>
    </w:p>
    <w:p>
      <w:pPr>
        <w:spacing w:before="20" w:after="20" w:line="360" w:lineRule="auto"/>
        <w:ind w:left="200"/>
      </w:pPr>
      <w:r>
        <w:rPr>
          <w:sz w:val="19"/>
          <w:szCs w:val="19"/>
        </w:rPr>
        <w:t xml:space="preserve">The statement of cash flows reports a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cash receipts and cash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for a period. </w:t>
      </w:r>
      <w:r>
        <w:rPr>
          <w:sz w:val="19"/>
          <w:szCs w:val="19"/>
        </w:rPr>
        <w:t xml:space="preserve">Users need it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profit is not cash. </w:t>
      </w:r>
      <w:r>
        <w:rPr>
          <w:sz w:val="19"/>
          <w:szCs w:val="19"/>
        </w:rPr>
        <w:t xml:space="preserve">It helps them judge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the company can produce cash, pay its debts and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fund its growth without new financing. </w:t>
      </w:r>
      <w:r>
        <w:rPr>
          <w:sz w:val="19"/>
          <w:szCs w:val="19"/>
        </w:rPr>
        <w:t xml:space="preserve">The statement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the change in cash, cash equivalents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cash together. </w:t>
      </w:r>
      <w:r>
        <w:rPr>
          <w:sz w:val="19"/>
          <w:szCs w:val="19"/>
        </w:rPr>
        <w:t xml:space="preserve">Cash equivalents are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highly liquid </w:t>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with an original maturity to the holder of three months or less. </w:t>
      </w:r>
      <w:r>
        <w:rPr>
          <w:sz w:val="19"/>
          <w:szCs w:val="19"/>
        </w:rPr>
        <w:t xml:space="preserve"/>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money between these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is not a cash flow. </w:t>
      </w:r>
      <w:r>
        <w:rPr>
          <w:sz w:val="19"/>
          <w:szCs w:val="19"/>
        </w:rPr>
        <w:t xml:space="preserve">Cash flows are grouped into operating activities, investing activities and financing activities. </w:t>
      </w:r>
      <w:r>
        <w:rPr>
          <w:sz w:val="19"/>
          <w:szCs w:val="19"/>
        </w:rPr>
        <w:t xml:space="preserve">Operating activities provided $7,531,100, investing used $4,179,000, and financing provided $1,850,000. </w:t>
      </w:r>
      <w:r>
        <w:rPr>
          <w:sz w:val="19"/>
          <w:szCs w:val="19"/>
        </w:rPr>
        <w:t xml:space="preserve">Cash rose by $5,202,100, to the $7,302,100 shown on the balance sheet.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restricted   ·   payments   ·   equivalents   ·   Moving   ·   company's   ·   short-term   ·   because   ·   investments   ·   explains   ·   categories   ·   whether</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statement of cash flows (indirect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Foods Inc., year ended December 31, 2025</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flows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2400"/>
            <w:shd w:fill="FBFAF6" w:val="clear"/>
            <w:tcMar>
              <w:top w:type="dxa" w:w="50"/>
              <w:left w:type="dxa" w:w="110"/>
              <w:bottom w:type="dxa" w:w="50"/>
              <w:right w:type="dxa" w:w="110"/>
            </w:tcMar>
          </w:tcPr>
          <w:p>
            <w:pPr>
              <w:spacing w:before="28" w:after="28"/>
            </w:pPr>
            <w:r>
              <w:rPr>
                <w:sz w:val="15"/>
                <w:szCs w:val="15"/>
              </w:rPr>
              <w:t xml:space="preserve">2,969,100</w:t>
            </w:r>
          </w:p>
        </w:tc>
      </w:tr>
      <w:tr>
        <w:tc>
          <w:tcPr>
            <w:tcW w:type="pct" w:w="2600"/>
            <w:tcMar>
              <w:top w:type="dxa" w:w="50"/>
              <w:left w:type="dxa" w:w="110"/>
              <w:bottom w:type="dxa" w:w="50"/>
              <w:right w:type="dxa" w:w="110"/>
            </w:tcMar>
          </w:tcPr>
          <w:p>
            <w:pPr>
              <w:spacing w:before="28" w:after="28"/>
            </w:pPr>
            <w:r>
              <w:rPr>
                <w:sz w:val="15"/>
                <w:szCs w:val="15"/>
              </w:rPr>
              <w:t xml:space="preserve">Adjustments to reconcile net income to net cash from operating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(14)</w:t>
            </w:r>
          </w:p>
        </w:tc>
        <w:tc>
          <w:tcPr>
            <w:tcW w:type="pct" w:w="2400"/>
            <w:shd w:fill="FBFAF6" w:val="clear"/>
            <w:tcMar>
              <w:top w:type="dxa" w:w="50"/>
              <w:left w:type="dxa" w:w="110"/>
              <w:bottom w:type="dxa" w:w="50"/>
              <w:right w:type="dxa" w:w="110"/>
            </w:tcMar>
          </w:tcPr>
          <w:p>
            <w:pPr>
              <w:spacing w:before="28" w:after="28"/>
            </w:pPr>
            <w:r>
              <w:rPr>
                <w:sz w:val="15"/>
                <w:szCs w:val="15"/>
              </w:rPr>
              <w:t xml:space="preserve">2,100,000</w:t>
            </w:r>
          </w:p>
        </w:tc>
      </w:tr>
      <w:tr>
        <w:tc>
          <w:tcPr>
            <w:tcW w:type="pct" w:w="2600"/>
            <w:tcMar>
              <w:top w:type="dxa" w:w="50"/>
              <w:left w:type="dxa" w:w="110"/>
              <w:bottom w:type="dxa" w:w="50"/>
              <w:right w:type="dxa" w:w="110"/>
            </w:tcMar>
          </w:tcPr>
          <w:p>
            <w:pPr>
              <w:spacing w:before="28" w:after="28"/>
            </w:pPr>
            <w:r>
              <w:rPr>
                <w:sz w:val="15"/>
                <w:szCs w:val="15"/>
              </w:rPr>
              <w:t xml:space="preserve">Impairment losses</w:t>
            </w:r>
          </w:p>
        </w:tc>
        <w:tc>
          <w:tcPr>
            <w:tcW w:type="pct" w:w="2400"/>
            <w:tcMar>
              <w:top w:type="dxa" w:w="50"/>
              <w:left w:type="dxa" w:w="110"/>
              <w:bottom w:type="dxa" w:w="50"/>
              <w:right w:type="dxa" w:w="110"/>
            </w:tcMar>
          </w:tcPr>
          <w:p>
            <w:pPr>
              <w:spacing w:before="28" w:after="28"/>
            </w:pPr>
            <w:r>
              <w:rPr>
                <w:sz w:val="15"/>
                <w:szCs w:val="15"/>
              </w:rPr>
              <w:t xml:space="preserve">2,724,000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Equity-method income</w:t>
            </w:r>
          </w:p>
        </w:tc>
        <w:tc>
          <w:tcPr>
            <w:tcW w:type="pct" w:w="2400"/>
            <w:shd w:fill="FBFAF6" w:val="clear"/>
            <w:tcMar>
              <w:top w:type="dxa" w:w="50"/>
              <w:left w:type="dxa" w:w="110"/>
              <w:bottom w:type="dxa" w:w="50"/>
              <w:right w:type="dxa" w:w="110"/>
            </w:tcMar>
          </w:tcPr>
          <w:p>
            <w:pPr>
              <w:spacing w:before="28" w:after="28"/>
            </w:pPr>
            <w:r>
              <w:rPr>
                <w:sz w:val="15"/>
                <w:szCs w:val="15"/>
              </w:rPr>
              <w:t xml:space="preserve">(177,000)</w:t>
            </w:r>
          </w:p>
        </w:tc>
      </w:tr>
      <w:tr>
        <w:tc>
          <w:tcPr>
            <w:tcW w:type="pct" w:w="2600"/>
            <w:tcMar>
              <w:top w:type="dxa" w:w="50"/>
              <w:left w:type="dxa" w:w="110"/>
              <w:bottom w:type="dxa" w:w="50"/>
              <w:right w:type="dxa" w:w="110"/>
            </w:tcMar>
          </w:tcPr>
          <w:p>
            <w:pPr>
              <w:spacing w:before="28" w:after="28"/>
            </w:pPr>
            <w:r>
              <w:rPr>
                <w:sz w:val="15"/>
                <w:szCs w:val="15"/>
              </w:rPr>
              <w:t xml:space="preserve">Dividends from equity-method investees</w:t>
            </w:r>
          </w:p>
        </w:tc>
        <w:tc>
          <w:tcPr>
            <w:tcW w:type="pct" w:w="2400"/>
            <w:tcMar>
              <w:top w:type="dxa" w:w="50"/>
              <w:left w:type="dxa" w:w="110"/>
              <w:bottom w:type="dxa" w:w="50"/>
              <w:right w:type="dxa" w:w="110"/>
            </w:tcMar>
          </w:tcPr>
          <w:p>
            <w:pPr>
              <w:spacing w:before="28" w:after="28"/>
            </w:pPr>
            <w:r>
              <w:rPr>
                <w:sz w:val="15"/>
                <w:szCs w:val="15"/>
              </w:rPr>
              <w:t xml:space="preserve">70,000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(15)</w:t>
            </w:r>
          </w:p>
        </w:tc>
        <w:tc>
          <w:tcPr>
            <w:tcW w:type="pct" w:w="2400"/>
            <w:shd w:fill="FBFAF6" w:val="clear"/>
            <w:tcMar>
              <w:top w:type="dxa" w:w="50"/>
              <w:left w:type="dxa" w:w="110"/>
              <w:bottom w:type="dxa" w:w="50"/>
              <w:right w:type="dxa" w:w="110"/>
            </w:tcMar>
          </w:tcPr>
          <w:p>
            <w:pPr>
              <w:spacing w:before="28" w:after="28"/>
            </w:pPr>
            <w:r>
              <w:rPr>
                <w:sz w:val="15"/>
                <w:szCs w:val="15"/>
              </w:rPr>
              <w:t xml:space="preserve">(3,000)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(16)</w:t>
            </w:r>
          </w:p>
        </w:tc>
        <w:tc>
          <w:tcPr>
            <w:tcW w:type="pct" w:w="2400"/>
            <w:tcMar>
              <w:top w:type="dxa" w:w="50"/>
              <w:left w:type="dxa" w:w="110"/>
              <w:bottom w:type="dxa" w:w="50"/>
              <w:right w:type="dxa" w:w="110"/>
            </w:tcMar>
          </w:tcPr>
          <w:p>
            <w:pPr>
              <w:spacing w:before="28" w:after="28"/>
            </w:pPr>
            <w:r>
              <w:rPr>
                <w:sz w:val="15"/>
                <w:szCs w:val="15"/>
              </w:rPr>
              <w:t xml:space="preserve">(4,000)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Deferred income taxes</w:t>
            </w:r>
          </w:p>
        </w:tc>
        <w:tc>
          <w:tcPr>
            <w:tcW w:type="pct" w:w="2400"/>
            <w:shd w:fill="FBFAF6" w:val="clear"/>
            <w:tcMar>
              <w:top w:type="dxa" w:w="50"/>
              <w:left w:type="dxa" w:w="110"/>
              <w:bottom w:type="dxa" w:w="50"/>
              <w:right w:type="dxa" w:w="110"/>
            </w:tcMar>
          </w:tcPr>
          <w:p>
            <w:pPr>
              <w:spacing w:before="28" w:after="28"/>
            </w:pPr>
            <w:r>
              <w:rPr>
                <w:sz w:val="15"/>
                <w:szCs w:val="15"/>
              </w:rPr>
              <w:t xml:space="preserve">100,000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2400"/>
            <w:tcMar>
              <w:top w:type="dxa" w:w="50"/>
              <w:left w:type="dxa" w:w="110"/>
              <w:bottom w:type="dxa" w:w="50"/>
              <w:right w:type="dxa" w:w="110"/>
            </w:tcMar>
          </w:tcPr>
          <w:p>
            <w:pPr>
              <w:spacing w:before="28" w:after="28"/>
            </w:pPr>
            <w:r>
              <w:rPr>
                <w:sz w:val="15"/>
                <w:szCs w:val="15"/>
              </w:rPr>
              <w:t xml:space="preserve">(384,000)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tcMar>
              <w:top w:type="dxa" w:w="50"/>
              <w:left w:type="dxa" w:w="110"/>
              <w:bottom w:type="dxa" w:w="50"/>
              <w:right w:type="dxa" w:w="110"/>
            </w:tcMar>
          </w:tcPr>
          <w:p>
            <w:pPr>
              <w:spacing w:before="28" w:after="28"/>
            </w:pPr>
            <w:r>
              <w:rPr>
                <w:sz w:val="15"/>
                <w:szCs w:val="15"/>
              </w:rPr>
              <w:t xml:space="preserve">Increase in prepaid expenses</w:t>
            </w:r>
          </w:p>
        </w:tc>
        <w:tc>
          <w:tcPr>
            <w:tcW w:type="pct" w:w="2400"/>
            <w:tcMar>
              <w:top w:type="dxa" w:w="50"/>
              <w:left w:type="dxa" w:w="110"/>
              <w:bottom w:type="dxa" w:w="50"/>
              <w:right w:type="dxa" w:w="110"/>
            </w:tcMar>
          </w:tcPr>
          <w:p>
            <w:pPr>
              <w:spacing w:before="28" w:after="28"/>
            </w:pPr>
            <w:r>
              <w:rPr>
                <w:sz w:val="15"/>
                <w:szCs w:val="15"/>
              </w:rPr>
              <w:t xml:space="preserve">(24,000)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2400"/>
            <w:shd w:fill="FBFAF6" w:val="clear"/>
            <w:tcMar>
              <w:top w:type="dxa" w:w="50"/>
              <w:left w:type="dxa" w:w="110"/>
              <w:bottom w:type="dxa" w:w="50"/>
              <w:right w:type="dxa" w:w="110"/>
            </w:tcMar>
          </w:tcPr>
          <w:p>
            <w:pPr>
              <w:spacing w:before="28" w:after="28"/>
            </w:pPr>
            <w:r>
              <w:rPr>
                <w:sz w:val="15"/>
                <w:szCs w:val="15"/>
              </w:rPr>
              <w:t xml:space="preserve">150,000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2400"/>
            <w:tcMar>
              <w:top w:type="dxa" w:w="50"/>
              <w:left w:type="dxa" w:w="110"/>
              <w:bottom w:type="dxa" w:w="50"/>
              <w:right w:type="dxa" w:w="110"/>
            </w:tcMar>
          </w:tcPr>
          <w:p>
            <w:pPr>
              <w:spacing w:before="28" w:after="28"/>
            </w:pPr>
            <w:r>
              <w:rPr>
                <w:sz w:val="15"/>
                <w:szCs w:val="15"/>
              </w:rPr>
              <w:t xml:space="preserve">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Increase in income taxes payable</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Increase in contract liabilities</w:t>
            </w:r>
          </w:p>
        </w:tc>
        <w:tc>
          <w:tcPr>
            <w:tcW w:type="pct" w:w="2400"/>
            <w:tcMar>
              <w:top w:type="dxa" w:w="50"/>
              <w:left w:type="dxa" w:w="110"/>
              <w:bottom w:type="dxa" w:w="50"/>
              <w:right w:type="dxa" w:w="110"/>
            </w:tcMar>
          </w:tcPr>
          <w:p>
            <w:pPr>
              <w:spacing w:before="28" w:after="28"/>
            </w:pPr>
            <w:r>
              <w:rPr>
                <w:sz w:val="15"/>
                <w:szCs w:val="15"/>
              </w:rPr>
              <w:t xml:space="preserve">60,000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r>
        <w:tc>
          <w:tcPr>
            <w:tcW w:type="pct" w:w="2600"/>
            <w:tcMar>
              <w:top w:type="dxa" w:w="50"/>
              <w:left w:type="dxa" w:w="110"/>
              <w:bottom w:type="dxa" w:w="50"/>
              <w:right w:type="dxa" w:w="110"/>
            </w:tcMar>
          </w:tcPr>
          <w:p>
            <w:pPr>
              <w:spacing w:before="28" w:after="28"/>
            </w:pPr>
            <w:r>
              <w:rPr>
                <w:sz w:val="15"/>
                <w:szCs w:val="15"/>
              </w:rPr>
              <w:t xml:space="preserve">Cash flows from investing activities</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Purchases of property, plant and equipment</w:t>
            </w:r>
          </w:p>
        </w:tc>
        <w:tc>
          <w:tcPr>
            <w:tcW w:type="pct" w:w="2400"/>
            <w:shd w:fill="FBFAF6" w:val="clear"/>
            <w:tcMar>
              <w:top w:type="dxa" w:w="50"/>
              <w:left w:type="dxa" w:w="110"/>
              <w:bottom w:type="dxa" w:w="50"/>
              <w:right w:type="dxa" w:w="110"/>
            </w:tcMar>
          </w:tcPr>
          <w:p>
            <w:pPr>
              <w:spacing w:before="28" w:after="28"/>
            </w:pPr>
            <w:r>
              <w:rPr>
                <w:sz w:val="15"/>
                <w:szCs w:val="15"/>
              </w:rPr>
              <w:t xml:space="preserve">(3,000,000)</w:t>
            </w:r>
          </w:p>
        </w:tc>
      </w:tr>
      <w:tr>
        <w:tc>
          <w:tcPr>
            <w:tcW w:type="pct" w:w="2600"/>
            <w:tcMar>
              <w:top w:type="dxa" w:w="50"/>
              <w:left w:type="dxa" w:w="110"/>
              <w:bottom w:type="dxa" w:w="50"/>
              <w:right w:type="dxa" w:w="110"/>
            </w:tcMar>
          </w:tcPr>
          <w:p>
            <w:pPr>
              <w:spacing w:before="28" w:after="28"/>
            </w:pPr>
            <w:r>
              <w:rPr>
                <w:sz w:val="15"/>
                <w:szCs w:val="15"/>
              </w:rPr>
              <w:t xml:space="preserve">Proceeds from sale of equipment</w:t>
            </w:r>
          </w:p>
        </w:tc>
        <w:tc>
          <w:tcPr>
            <w:tcW w:type="pct" w:w="2400"/>
            <w:tcMar>
              <w:top w:type="dxa" w:w="50"/>
              <w:left w:type="dxa" w:w="110"/>
              <w:bottom w:type="dxa" w:w="50"/>
              <w:right w:type="dxa" w:w="110"/>
            </w:tcMar>
          </w:tcPr>
          <w:p>
            <w:pPr>
              <w:spacing w:before="28" w:after="28"/>
            </w:pPr>
            <w:r>
              <w:rPr>
                <w:sz w:val="15"/>
                <w:szCs w:val="15"/>
              </w:rPr>
              <w:t xml:space="preserve">21,000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Investment in Jordan Glass Co.</w:t>
            </w:r>
          </w:p>
        </w:tc>
        <w:tc>
          <w:tcPr>
            <w:tcW w:type="pct" w:w="2400"/>
            <w:shd w:fill="FBFAF6" w:val="clear"/>
            <w:tcMar>
              <w:top w:type="dxa" w:w="50"/>
              <w:left w:type="dxa" w:w="110"/>
              <w:bottom w:type="dxa" w:w="50"/>
              <w:right w:type="dxa" w:w="110"/>
            </w:tcMar>
          </w:tcPr>
          <w:p>
            <w:pPr>
              <w:spacing w:before="28" w:after="28"/>
            </w:pPr>
            <w:r>
              <w:rPr>
                <w:sz w:val="15"/>
                <w:szCs w:val="15"/>
              </w:rPr>
              <w:t xml:space="preserve">(1,200,000)</w:t>
            </w:r>
          </w:p>
        </w:tc>
      </w:tr>
      <w:tr>
        <w:tc>
          <w:tcPr>
            <w:tcW w:type="pct" w:w="2600"/>
            <w:tcMar>
              <w:top w:type="dxa" w:w="50"/>
              <w:left w:type="dxa" w:w="110"/>
              <w:bottom w:type="dxa" w:w="50"/>
              <w:right w:type="dxa" w:w="110"/>
            </w:tcMar>
          </w:tcPr>
          <w:p>
            <w:pPr>
              <w:spacing w:before="28" w:after="28"/>
            </w:pPr>
            <w:r>
              <w:rPr>
                <w:sz w:val="15"/>
                <w:szCs w:val="15"/>
              </w:rPr>
              <w:t xml:space="preserve">Net cash used in investing activities</w:t>
            </w:r>
          </w:p>
        </w:tc>
        <w:tc>
          <w:tcPr>
            <w:tcW w:type="pct" w:w="2400"/>
            <w:tcMar>
              <w:top w:type="dxa" w:w="50"/>
              <w:left w:type="dxa" w:w="110"/>
              <w:bottom w:type="dxa" w:w="50"/>
              <w:right w:type="dxa" w:w="110"/>
            </w:tcMar>
          </w:tcPr>
          <w:p>
            <w:pPr>
              <w:spacing w:before="28" w:after="28"/>
            </w:pPr>
            <w:r>
              <w:rPr>
                <w:sz w:val="15"/>
                <w:szCs w:val="15"/>
              </w:rPr>
              <w:t xml:space="preserve">(4,179,000)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flows from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2400"/>
            <w:tcMar>
              <w:top w:type="dxa" w:w="50"/>
              <w:left w:type="dxa" w:w="110"/>
              <w:bottom w:type="dxa" w:w="50"/>
              <w:right w:type="dxa" w:w="110"/>
            </w:tcMar>
          </w:tcPr>
          <w:p>
            <w:pPr>
              <w:spacing w:before="28" w:after="28"/>
            </w:pPr>
            <w:r>
              <w:rPr>
                <w:sz w:val="15"/>
                <w:szCs w:val="15"/>
              </w:rPr>
              <w:t xml:space="preserve">1,500,000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Proceeds from bank note</w:t>
            </w:r>
          </w:p>
        </w:tc>
        <w:tc>
          <w:tcPr>
            <w:tcW w:type="pct" w:w="2400"/>
            <w:shd w:fill="FBFAF6" w:val="clear"/>
            <w:tcMar>
              <w:top w:type="dxa" w:w="50"/>
              <w:left w:type="dxa" w:w="110"/>
              <w:bottom w:type="dxa" w:w="50"/>
              <w:right w:type="dxa" w:w="110"/>
            </w:tcMar>
          </w:tcPr>
          <w:p>
            <w:pPr>
              <w:spacing w:before="28" w:after="28"/>
            </w:pPr>
            <w:r>
              <w:rPr>
                <w:sz w:val="15"/>
                <w:szCs w:val="15"/>
              </w:rPr>
              <w:t xml:space="preserve">800,000</w:t>
            </w:r>
          </w:p>
        </w:tc>
      </w:tr>
      <w:tr>
        <w:tc>
          <w:tcPr>
            <w:tcW w:type="pct" w:w="2600"/>
            <w:tcMar>
              <w:top w:type="dxa" w:w="50"/>
              <w:left w:type="dxa" w:w="110"/>
              <w:bottom w:type="dxa" w:w="50"/>
              <w:right w:type="dxa" w:w="110"/>
            </w:tcMar>
          </w:tcPr>
          <w:p>
            <w:pPr>
              <w:spacing w:before="28" w:after="28"/>
            </w:pPr>
            <w:r>
              <w:rPr>
                <w:sz w:val="15"/>
                <w:szCs w:val="15"/>
              </w:rPr>
              <w:t xml:space="preserve">Repayment of long-term debt</w:t>
            </w:r>
          </w:p>
        </w:tc>
        <w:tc>
          <w:tcPr>
            <w:tcW w:type="pct" w:w="2400"/>
            <w:tcMar>
              <w:top w:type="dxa" w:w="50"/>
              <w:left w:type="dxa" w:w="110"/>
              <w:bottom w:type="dxa" w:w="50"/>
              <w:right w:type="dxa" w:w="110"/>
            </w:tcMar>
          </w:tcPr>
          <w:p>
            <w:pPr>
              <w:spacing w:before="28" w:after="28"/>
            </w:pPr>
            <w:r>
              <w:rPr>
                <w:sz w:val="15"/>
                <w:szCs w:val="15"/>
              </w:rPr>
              <w:t xml:space="preserve">(400,000)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Dividends paid</w:t>
            </w:r>
          </w:p>
        </w:tc>
        <w:tc>
          <w:tcPr>
            <w:tcW w:type="pct" w:w="2400"/>
            <w:shd w:fill="FBFAF6" w:val="clear"/>
            <w:tcMar>
              <w:top w:type="dxa" w:w="50"/>
              <w:left w:type="dxa" w:w="110"/>
              <w:bottom w:type="dxa" w:w="50"/>
              <w:right w:type="dxa" w:w="110"/>
            </w:tcMar>
          </w:tcPr>
          <w:p>
            <w:pPr>
              <w:spacing w:before="28" w:after="28"/>
            </w:pPr>
            <w:r>
              <w:rPr>
                <w:sz w:val="15"/>
                <w:szCs w:val="15"/>
              </w:rPr>
              <w:t xml:space="preserve">(50,000)</w:t>
            </w:r>
          </w:p>
        </w:tc>
      </w:tr>
      <w:tr>
        <w:tc>
          <w:tcPr>
            <w:tcW w:type="pct" w:w="2600"/>
            <w:tcMar>
              <w:top w:type="dxa" w:w="50"/>
              <w:left w:type="dxa" w:w="110"/>
              <w:bottom w:type="dxa" w:w="50"/>
              <w:right w:type="dxa" w:w="110"/>
            </w:tcMar>
          </w:tcPr>
          <w:p>
            <w:pPr>
              <w:spacing w:before="28" w:after="28"/>
            </w:pPr>
            <w:r>
              <w:rPr>
                <w:sz w:val="15"/>
                <w:szCs w:val="15"/>
              </w:rPr>
              <w:t xml:space="preserve">Net cash provided by financing activities</w:t>
            </w:r>
          </w:p>
        </w:tc>
        <w:tc>
          <w:tcPr>
            <w:tcW w:type="pct" w:w="2400"/>
            <w:tcMar>
              <w:top w:type="dxa" w:w="50"/>
              <w:left w:type="dxa" w:w="110"/>
              <w:bottom w:type="dxa" w:w="50"/>
              <w:right w:type="dxa" w:w="110"/>
            </w:tcMar>
          </w:tcPr>
          <w:p>
            <w:pPr>
              <w:spacing w:before="28" w:after="28"/>
            </w:pPr>
            <w:r>
              <w:rPr>
                <w:sz w:val="15"/>
                <w:szCs w:val="15"/>
              </w:rPr>
              <w:t xml:space="preserve">1,850,000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increase in cash</w:t>
            </w:r>
          </w:p>
        </w:tc>
        <w:tc>
          <w:tcPr>
            <w:tcW w:type="pct" w:w="2400"/>
            <w:shd w:fill="FBFAF6" w:val="clear"/>
            <w:tcMar>
              <w:top w:type="dxa" w:w="50"/>
              <w:left w:type="dxa" w:w="110"/>
              <w:bottom w:type="dxa" w:w="50"/>
              <w:right w:type="dxa" w:w="110"/>
            </w:tcMar>
          </w:tcPr>
          <w:p>
            <w:pPr>
              <w:spacing w:before="28" w:after="28"/>
            </w:pPr>
            <w:r>
              <w:rPr>
                <w:sz w:val="15"/>
                <w:szCs w:val="15"/>
              </w:rPr>
              <w:t xml:space="preserve">5,202,100</w:t>
            </w:r>
          </w:p>
        </w:tc>
      </w:tr>
      <w:tr>
        <w:tc>
          <w:tcPr>
            <w:tcW w:type="pct" w:w="2600"/>
            <w:tcMar>
              <w:top w:type="dxa" w:w="50"/>
              <w:left w:type="dxa" w:w="110"/>
              <w:bottom w:type="dxa" w:w="50"/>
              <w:right w:type="dxa" w:w="110"/>
            </w:tcMar>
          </w:tcPr>
          <w:p>
            <w:pPr>
              <w:spacing w:before="28" w:after="28"/>
            </w:pPr>
            <w:r>
              <w:rPr>
                <w:sz w:val="15"/>
                <w:szCs w:val="15"/>
              </w:rPr>
              <w:t xml:space="preserve">Cash, January 1, 2025</w:t>
            </w:r>
          </w:p>
        </w:tc>
        <w:tc>
          <w:tcPr>
            <w:tcW w:type="pct" w:w="2400"/>
            <w:tcMar>
              <w:top w:type="dxa" w:w="50"/>
              <w:left w:type="dxa" w:w="110"/>
              <w:bottom w:type="dxa" w:w="50"/>
              <w:right w:type="dxa" w:w="110"/>
            </w:tcMar>
          </w:tcPr>
          <w:p>
            <w:pPr>
              <w:spacing w:before="28" w:after="28"/>
            </w:pPr>
            <w:r>
              <w:rPr>
                <w:sz w:val="15"/>
                <w:szCs w:val="15"/>
              </w:rPr>
              <w:t xml:space="preserve">2,100,000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Cash, December 31, 2025</w:t>
            </w:r>
          </w:p>
        </w:tc>
        <w:tc>
          <w:tcPr>
            <w:tcW w:type="pct" w:w="2400"/>
            <w:shd w:fill="FBFAF6" w:val="clear"/>
            <w:tcMar>
              <w:top w:type="dxa" w:w="50"/>
              <w:left w:type="dxa" w:w="110"/>
              <w:bottom w:type="dxa" w:w="50"/>
              <w:right w:type="dxa" w:w="110"/>
            </w:tcMar>
          </w:tcPr>
          <w:p>
            <w:pPr>
              <w:spacing w:before="28" w:after="28"/>
            </w:pPr>
            <w:r>
              <w:rPr>
                <w:sz w:val="15"/>
                <w:szCs w:val="15"/>
              </w:rPr>
              <w:t xml:space="preserve">7,302,100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2400"/>
            <w:tcMar>
              <w:top w:type="dxa" w:w="50"/>
              <w:left w:type="dxa" w:w="110"/>
              <w:bottom w:type="dxa" w:w="50"/>
              <w:right w:type="dxa" w:w="110"/>
            </w:tcMar>
          </w:tcPr>
          <w:p>
            <w:pPr>
              <w:spacing w:before="28" w:after="28"/>
            </w:pPr>
            <w:r>
              <w:rPr>
                <w:sz w:val="15"/>
                <w:szCs w:val="15"/>
              </w:rPr>
              <w:t xml:space="preserve"> </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tcMar>
              <w:top w:type="dxa" w:w="50"/>
              <w:left w:type="dxa" w:w="110"/>
              <w:bottom w:type="dxa" w:w="50"/>
              <w:right w:type="dxa" w:w="110"/>
            </w:tcMar>
          </w:tcPr>
          <w:p>
            <w:pPr>
              <w:spacing w:before="28" w:after="28"/>
            </w:pPr>
            <w:r>
              <w:rPr>
                <w:sz w:val="15"/>
                <w:szCs w:val="15"/>
              </w:rPr>
              <w:t xml:space="preserve">Income taxes paid</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Noncash investing and financing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none</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Increase in inventory   ·   Depreciation   ·   Deferred income taxes   ·   Gain on sale of equipment   ·   Increase in accounts receivable, net   ·   Interest paid   ·   Unrealized gains on securities   ·   Increase in accounts payable   ·   Issuance of common stock   ·   Supplemental disclosures   ·   Increase in accrued liabilities</w:t>
            </w:r>
          </w:p>
        </w:tc>
      </w:tr>
    </w:tbl>
    <w:p/>
    <w:p>
      <w:pPr>
        <w:pageBreakBefore w:val="true"/>
        <w:spacing w:after="0"/>
      </w:pPr>
      <w:r>
        <w:rPr>
          <w:sz w:val="2"/>
        </w:rPr>
        <w:t xml:space="preserve"> </w:t>
      </w:r>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2785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734050" cy="22785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financing activities   ·   الأنشطة التشغيلية   ·   operating activities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cash equivalents</w:t>
            </w:r>
          </w:p>
        </w:tc>
        <w:tc>
          <w:tcPr>
            <w:tcW w:type="pct" w:w="2600"/>
            <w:tcMar>
              <w:top w:type="dxa" w:w="50"/>
              <w:left w:type="dxa" w:w="110"/>
              <w:bottom w:type="dxa" w:w="50"/>
              <w:right w:type="dxa" w:w="110"/>
            </w:tcMar>
          </w:tcPr>
          <w:p>
            <w:pPr>
              <w:spacing w:before="26" w:after="26"/>
            </w:pPr>
            <w:r>
              <w:rPr>
                <w:color w:val="232733"/>
                <w:sz w:val="16"/>
                <w:szCs w:val="16"/>
              </w:rPr>
              <w:t xml:space="preserve">معادلات النقد (ما في حكم النقد)</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operating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التشغيلية</w:t>
            </w:r>
          </w:p>
        </w:tc>
      </w:tr>
      <w:tr>
        <w:tc>
          <w:tcPr>
            <w:tcW w:type="pct" w:w="2400"/>
            <w:tcMar>
              <w:top w:type="dxa" w:w="50"/>
              <w:left w:type="dxa" w:w="110"/>
              <w:bottom w:type="dxa" w:w="50"/>
              <w:right w:type="dxa" w:w="110"/>
            </w:tcMar>
          </w:tcPr>
          <w:p>
            <w:pPr>
              <w:spacing w:before="26" w:after="26"/>
            </w:pPr>
            <w:r>
              <w:rPr>
                <w:color w:val="232733"/>
                <w:sz w:val="16"/>
                <w:szCs w:val="16"/>
              </w:rPr>
              <w:t xml:space="preserve">investing activities</w:t>
            </w:r>
          </w:p>
        </w:tc>
        <w:tc>
          <w:tcPr>
            <w:tcW w:type="pct" w:w="2600"/>
            <w:tcMar>
              <w:top w:type="dxa" w:w="50"/>
              <w:left w:type="dxa" w:w="110"/>
              <w:bottom w:type="dxa" w:w="50"/>
              <w:right w:type="dxa" w:w="110"/>
            </w:tcMar>
          </w:tcPr>
          <w:p>
            <w:pPr>
              <w:spacing w:before="26" w:after="26"/>
            </w:pPr>
            <w:r>
              <w:rPr>
                <w:color w:val="232733"/>
                <w:sz w:val="16"/>
                <w:szCs w:val="16"/>
              </w:rPr>
              <w:t xml:space="preserve">الأنشطة الاستثمارية</w:t>
            </w:r>
          </w:p>
        </w:tc>
      </w:tr>
      <w:tr>
        <w:tc>
          <w:tcPr>
            <w:tcW w:type="pct" w:w="2400"/>
            <w:shd w:fill="FBFAF6" w:val="clear"/>
            <w:tcMar>
              <w:top w:type="dxa" w:w="50"/>
              <w:left w:type="dxa" w:w="110"/>
              <w:bottom w:type="dxa" w:w="50"/>
              <w:right w:type="dxa" w:w="110"/>
            </w:tcMar>
          </w:tcPr>
          <w:p>
            <w:pPr>
              <w:spacing w:before="26" w:after="26"/>
            </w:pPr>
            <w:r>
              <w:rPr>
                <w:color w:val="232733"/>
                <w:sz w:val="16"/>
                <w:szCs w:val="16"/>
              </w:rPr>
              <w:t xml:space="preserve">financing activities</w:t>
            </w:r>
          </w:p>
        </w:tc>
        <w:tc>
          <w:tcPr>
            <w:tcW w:type="pct" w:w="2600"/>
            <w:shd w:fill="FBFAF6" w:val="clear"/>
            <w:tcMar>
              <w:top w:type="dxa" w:w="50"/>
              <w:left w:type="dxa" w:w="110"/>
              <w:bottom w:type="dxa" w:w="50"/>
              <w:right w:type="dxa" w:w="110"/>
            </w:tcMar>
          </w:tcPr>
          <w:p>
            <w:pPr>
              <w:spacing w:before="26" w:after="26"/>
            </w:pPr>
            <w:r>
              <w:rPr>
                <w:color w:val="232733"/>
                <w:sz w:val="16"/>
                <w:szCs w:val="16"/>
              </w:rPr>
              <w:t xml:space="preserve">الأنشطة التمويلية</w:t>
            </w:r>
          </w:p>
        </w:tc>
      </w:tr>
    </w:tbl>
    <w:p/>
    <w:p>
      <w:pPr>
        <w:sectPr>
          <w:headerReference w:type="default" r:id="rIdHdr1"/>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5.1  Purpose and structure of the statement of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Classifying cash flows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Depreciation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Limitations and links between the four stateme</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Gain on sale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company's</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Unrealized gains on 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payments</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Increase in 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because</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Increase in 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whether</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Increase in 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Increase in accrued liabilities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explains</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Issuance of common stock</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restricted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Supplemental disclosures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short-term</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investments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operating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Moving</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categories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statement of cash flows reports a company's cash receipts and cash payments for a period. Users need it because profit is not cash. It helps them judge whether the company can produce cash, pay its debts and dividends, and fund its growth without new financing. The statement explains the change in cash, cash equivalents and restricted cash together. Cash equivalents are short-term, highly liquid investments with an original maturity to the holder of three months or less. Moving money between these categories is not a cash flow. Cash flows are grouped into operating activities, investing activities and financing activities. Operating activities provided $7,531,100, investing used $4,179,000, and financing provided $1,850,000. Cash rose by $5,202,100, to the $7,302,100 shown on the balance sheet.</w:t>
      </w:r>
    </w:p>
    <w:p>
      <w:pPr>
        <w:sectPr>
          <w:headerReference w:type="default" r:id="rIdHdr2"/>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5.2  Classifying cash flows</w:t>
            </w:r>
          </w:p>
          <w:p>
            <w:pPr>
              <w:spacing w:before="0" w:after="46"/>
            </w:pPr>
            <w:r>
              <w:rPr>
                <w:color w:val="E8EAF6"/>
                <w:sz w:val="16"/>
                <w:szCs w:val="16"/>
              </w:rPr>
              <w:t xml:space="preserve">Chapter 5 · section 5.2</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1–10</w:t>
      </w:r>
    </w:p>
    <w:p>
      <w:pPr>
        <w:spacing w:before="20" w:after="20" w:line="360" w:lineRule="auto"/>
        <w:ind w:left="200"/>
      </w:pPr>
      <w:r>
        <w:rPr>
          <w:sz w:val="19"/>
          <w:szCs w:val="19"/>
        </w:rPr>
        <w:t xml:space="preserve">Operating activities are the main revenue activities: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and employees. </w:t>
      </w:r>
      <w:r>
        <w:rPr>
          <w:sz w:val="19"/>
          <w:szCs w:val="19"/>
        </w:rPr>
        <w:t xml:space="preserve"/>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that is not investing or financing is also operating. </w:t>
      </w:r>
      <w:r>
        <w:rPr>
          <w:sz w:val="19"/>
          <w:szCs w:val="19"/>
        </w:rPr>
        <w:t xml:space="preserve">Investing activities involve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assets and other companies'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Orontes paid $3,000,000 for equipment and $1,200,000 for its Jordan Glass shares. </w:t>
      </w:r>
      <w:r>
        <w:rPr>
          <w:sz w:val="19"/>
          <w:szCs w:val="19"/>
        </w:rPr>
        <w:t xml:space="preserve">Financing activities are with owners and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w:t>
      </w:r>
      <w:r>
        <w:rPr>
          <w:sz w:val="19"/>
          <w:szCs w:val="19"/>
        </w:rPr>
        <w:t xml:space="preserve">They include issuing and buying back shares, </w:t>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and repaying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and paying dividends. </w:t>
      </w:r>
      <w:r>
        <w:rPr>
          <w:sz w:val="19"/>
          <w:szCs w:val="19"/>
        </w:rPr>
        <w:t xml:space="preserve">Orontes received $1,500,000 from its share issue and $800,000 from the bank note,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$400,000 of debt and paid $50,000 of dividends. </w:t>
      </w:r>
      <w:r>
        <w:rPr>
          <w:sz w:val="19"/>
          <w:szCs w:val="19"/>
        </w:rPr>
        <w:t xml:space="preserve">U.S. GAAP fixes four items that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often get wrong. </w:t>
      </w:r>
      <w:r>
        <w:rPr>
          <w:sz w:val="19"/>
          <w:szCs w:val="19"/>
        </w:rPr>
        <w:t xml:space="preserve">Interest paid, interest received, dividends received and income taxes are all operating. </w:t>
      </w:r>
      <w:r>
        <w:rPr>
          <w:sz w:val="19"/>
          <w:szCs w:val="19"/>
        </w:rPr>
        <w:t xml:space="preserve">Only dividends paid are financing.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repaid   ·   students   ·   borrowing   ·   lenders   ·   securities   ·   suppliers   ·   long-term   ·   transactions   ·   Anything   ·   customers   ·   principal</w:t>
            </w:r>
          </w:p>
        </w:tc>
      </w:tr>
    </w:tbl>
    <w:p/>
    <w:p>
      <w:pPr>
        <w:spacing w:before="44" w:after="10"/>
      </w:pPr>
      <w:r>
        <w:rPr>
          <w:b/>
          <w:bCs/>
          <w:color w:val="353A7C"/>
          <w:sz w:val="18"/>
          <w:szCs w:val="18"/>
        </w:rPr>
        <w:t xml:space="preserve">Classifying interest, dividends and taxes: U.S. GAAP and IFRS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127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734050" cy="212762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paid   ·   Dividends received   ·   Interest received</w:t>
            </w:r>
          </w:p>
        </w:tc>
      </w:tr>
    </w:tbl>
    <w:p/>
    <w:p>
      <w:pPr>
        <w:spacing w:before="44" w:after="14"/>
      </w:pPr>
      <w:r>
        <w:rPr>
          <w:b/>
          <w:bCs/>
          <w:color w:val="353A7C"/>
          <w:sz w:val="18"/>
          <w:szCs w:val="18"/>
        </w:rPr>
        <w:t xml:space="preserve">Summary 2</w:t>
      </w:r>
      <w:r>
        <w:rPr>
          <w:color w:val="6B7280"/>
          <w:sz w:val="16"/>
          <w:szCs w:val="16"/>
        </w:rPr>
        <w:t xml:space="preserve">      gaps 13–19</w:t>
      </w:r>
    </w:p>
    <w:p>
      <w:pPr>
        <w:spacing w:before="20" w:after="20" w:line="360" w:lineRule="auto"/>
        <w:ind w:left="200"/>
      </w:pPr>
      <w:r>
        <w:rPr>
          <w:sz w:val="19"/>
          <w:szCs w:val="19"/>
        </w:rPr>
        <w:t xml:space="preserve">Some investing and financing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involve no cash at all, such as buying land by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shares or a note. </w:t>
      </w:r>
      <w:r>
        <w:rPr>
          <w:sz w:val="19"/>
          <w:szCs w:val="19"/>
        </w:rPr>
        <w:t xml:space="preserve">These noncash investing and financing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are not shown in the body of the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They are disclosed </w:t>
      </w:r>
      <w:r>
        <w:rPr>
          <w:b/>
          <w:bCs/>
          <w:color w:val="8186EF"/>
          <w:sz w:val="15"/>
          <w:szCs w:val="15"/>
        </w:rPr>
        <w:t xml:space="preserve"> (17) </w:t>
      </w:r>
      <w:r>
        <w:rPr>
          <w:u w:val="single"/>
          <w:sz w:val="19"/>
          <w:szCs w:val="19"/>
        </w:rPr>
        <w:t xml:space="preserve">            </w:t>
      </w:r>
      <w:r>
        <w:rPr>
          <w:sz w:val="19"/>
          <w:szCs w:val="19"/>
        </w:rPr>
        <w:t xml:space="preserve"> </w:t>
      </w:r>
      <w:r>
        <w:rPr>
          <w:sz w:val="19"/>
          <w:szCs w:val="19"/>
        </w:rPr>
        <w:t xml:space="preserve">. </w:t>
      </w:r>
      <w:r>
        <w:rPr>
          <w:sz w:val="19"/>
          <w:szCs w:val="19"/>
        </w:rPr>
        <w:t xml:space="preserve"/>
      </w:r>
      <w:r>
        <w:rPr>
          <w:b/>
          <w:bCs/>
          <w:color w:val="8186EF"/>
          <w:sz w:val="15"/>
          <w:szCs w:val="15"/>
        </w:rPr>
        <w:t xml:space="preserve"> (18) </w:t>
      </w:r>
      <w:r>
        <w:rPr>
          <w:u w:val="single"/>
          <w:sz w:val="19"/>
          <w:szCs w:val="19"/>
        </w:rPr>
        <w:t xml:space="preserve">           </w:t>
      </w:r>
      <w:r>
        <w:rPr>
          <w:sz w:val="19"/>
          <w:szCs w:val="19"/>
        </w:rPr>
        <w:t xml:space="preserve"> </w:t>
      </w:r>
      <w:r>
        <w:rPr>
          <w:sz w:val="19"/>
          <w:szCs w:val="19"/>
        </w:rPr>
        <w:t xml:space="preserve"> had none in 2025. </w:t>
      </w:r>
      <w:r>
        <w:rPr>
          <w:sz w:val="19"/>
          <w:szCs w:val="19"/>
        </w:rPr>
        <w:t xml:space="preserve">Under IAS 7 today, interest paid can be operating or financing, and interest and </w:t>
      </w:r>
      <w:r>
        <w:rPr>
          <w:b/>
          <w:bCs/>
          <w:color w:val="8186EF"/>
          <w:sz w:val="15"/>
          <w:szCs w:val="15"/>
        </w:rPr>
        <w:t xml:space="preserve"> (19) </w:t>
      </w:r>
      <w:r>
        <w:rPr>
          <w:u w:val="single"/>
          <w:sz w:val="19"/>
          <w:szCs w:val="19"/>
        </w:rPr>
        <w:t xml:space="preserve">           </w:t>
      </w:r>
      <w:r>
        <w:rPr>
          <w:sz w:val="19"/>
          <w:szCs w:val="19"/>
        </w:rPr>
        <w:t xml:space="preserve"> </w:t>
      </w:r>
      <w:r>
        <w:rPr>
          <w:sz w:val="19"/>
          <w:szCs w:val="19"/>
        </w:rPr>
        <w:t xml:space="preserve"> received can be operating or investing. </w:t>
      </w:r>
      <w:r>
        <w:rPr>
          <w:sz w:val="19"/>
          <w:szCs w:val="19"/>
        </w:rPr>
        <w:t xml:space="preserve">The amendments that come with IFRS 18 remove some choices from 2027, but they are not testable before about January 2028.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Orontes   ·   statement   ·   transactions   ·   issuing   ·   dividends   ·   separately   ·   Interest   ·   activities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Which activity?</w:t>
            </w:r>
          </w:p>
        </w:tc>
      </w:tr>
    </w:tbl>
    <w:p/>
    <w:p>
      <w:pPr>
        <w:pageBreakBefore w:val="true"/>
        <w:spacing w:after="0"/>
      </w:pPr>
      <w:r>
        <w:rPr>
          <w:sz w:val="2"/>
        </w:rPr>
        <w:t xml:space="preserve"> </w:t>
      </w:r>
    </w:p>
    <w:p>
      <w:pPr>
        <w:spacing w:before="44" w:after="10"/>
      </w:pPr>
      <w:r>
        <w:rPr>
          <w:b/>
          <w:bCs/>
          <w:color w:val="353A7C"/>
          <w:sz w:val="18"/>
          <w:szCs w:val="18"/>
        </w:rPr>
        <w:t xml:space="preserve">Which activity? (complete the blanks)</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2323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734050" cy="23238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received from selling Jordan Glass shares   ·   Land acquired by issuing a long-term note (no cash)   ·   Cash paid to buy back the company's own shares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Classification traps</w:t>
            </w:r>
          </w:p>
        </w:tc>
      </w:tr>
    </w:tbl>
    <w:p/>
    <w:p>
      <w:pPr>
        <w:spacing w:before="44" w:after="14"/>
      </w:pPr>
      <w:r>
        <w:rPr>
          <w:b/>
          <w:bCs/>
          <w:color w:val="353A7C"/>
          <w:sz w:val="18"/>
          <w:szCs w:val="18"/>
        </w:rPr>
        <w:t xml:space="preserve">Summary 3</w:t>
      </w:r>
      <w:r>
        <w:rPr>
          <w:color w:val="6B7280"/>
          <w:sz w:val="16"/>
          <w:szCs w:val="16"/>
        </w:rPr>
        <w:t xml:space="preserve">      gaps 22–23</w:t>
      </w:r>
    </w:p>
    <w:p>
      <w:pPr>
        <w:spacing w:before="20" w:after="20" w:line="360" w:lineRule="auto"/>
        <w:ind w:left="200"/>
      </w:pPr>
      <w:r>
        <w:rPr>
          <w:sz w:val="19"/>
          <w:szCs w:val="19"/>
        </w:rPr>
        <w:t xml:space="preserve">Interest paid is operating, not financing, under U.S. GAAP. </w:t>
      </w:r>
      <w:r>
        <w:rPr>
          <w:sz w:val="19"/>
          <w:szCs w:val="19"/>
        </w:rPr>
        <w:t xml:space="preserve">Dividends paid are financing; dividends </w:t>
      </w:r>
      <w:r>
        <w:rPr>
          <w:b/>
          <w:bCs/>
          <w:color w:val="8186EF"/>
          <w:sz w:val="15"/>
          <w:szCs w:val="15"/>
        </w:rPr>
        <w:t xml:space="preserve"> (22) </w:t>
      </w:r>
      <w:r>
        <w:rPr>
          <w:u w:val="single"/>
          <w:sz w:val="19"/>
          <w:szCs w:val="19"/>
        </w:rPr>
        <w:t xml:space="preserve">           </w:t>
      </w:r>
      <w:r>
        <w:rPr>
          <w:sz w:val="19"/>
          <w:szCs w:val="19"/>
        </w:rPr>
        <w:t xml:space="preserve"> </w:t>
      </w:r>
      <w:r>
        <w:rPr>
          <w:sz w:val="19"/>
          <w:szCs w:val="19"/>
        </w:rPr>
        <w:t xml:space="preserve"> are operating. </w:t>
      </w:r>
      <w:r>
        <w:rPr>
          <w:sz w:val="19"/>
          <w:szCs w:val="19"/>
        </w:rPr>
        <w:t xml:space="preserve">A note issued for land is not a cash flow: </w:t>
      </w:r>
      <w:r>
        <w:rPr>
          <w:b/>
          <w:bCs/>
          <w:color w:val="8186EF"/>
          <w:sz w:val="15"/>
          <w:szCs w:val="15"/>
        </w:rPr>
        <w:t xml:space="preserve"> (23) </w:t>
      </w:r>
      <w:r>
        <w:rPr>
          <w:u w:val="single"/>
          <w:sz w:val="19"/>
          <w:szCs w:val="19"/>
        </w:rPr>
        <w:t xml:space="preserve">           </w:t>
      </w:r>
      <w:r>
        <w:rPr>
          <w:sz w:val="19"/>
          <w:szCs w:val="19"/>
        </w:rPr>
        <w:t xml:space="preserve"> </w:t>
      </w:r>
      <w:r>
        <w:rPr>
          <w:sz w:val="19"/>
          <w:szCs w:val="19"/>
        </w:rPr>
        <w:t xml:space="preserve"> it.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received   ·   disclose   ·   Orontes</w:t>
            </w:r>
          </w:p>
        </w:tc>
      </w:tr>
    </w:tbl>
    <w:p/>
    <w:p>
      <w:pPr>
        <w:spacing w:before="44" w:after="10"/>
      </w:pPr>
      <w:r>
        <w:rPr>
          <w:b/>
          <w:bCs/>
          <w:color w:val="353A7C"/>
          <w:sz w:val="18"/>
          <w:szCs w:val="18"/>
        </w:rPr>
        <w:t xml:space="preserve">The English this section uses, and its Arabic</w:t>
      </w:r>
    </w:p>
    <w:p>
      <w:pPr>
        <w:spacing w:before="0" w:after="12"/>
      </w:pPr>
      <w:r>
        <w:rPr>
          <w:color w:val="6B7280"/>
          <w:sz w:val="15"/>
          <w:szCs w:val="15"/>
        </w:rPr>
        <w:t xml:space="preserve">Each term sits against what it means.</w:t>
      </w:r>
    </w:p>
    <w:p>
      <w:pPr>
        <w:spacing w:after="40" w:before="90"/>
        <w:jc w:val="center"/>
      </w:pPr>
      <w:r>
        <w:drawing>
          <wp:inline distT="0" distB="0" distL="0" distR="0">
            <wp:extent cx="5734050" cy="29123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734050" cy="29123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equivalents   ·   financing activities   ·   investing activities</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03"/>
        <w:gridCol w:w="4697"/>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554"/>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446"/>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554"/>
            <w:tcMar>
              <w:top w:type="dxa" w:w="50"/>
              <w:left w:type="dxa" w:w="110"/>
              <w:bottom w:type="dxa" w:w="50"/>
              <w:right w:type="dxa" w:w="110"/>
            </w:tcMar>
          </w:tcPr>
          <w:p>
            <w:pPr>
              <w:spacing w:before="26" w:after="26"/>
            </w:pPr>
            <w:r>
              <w:rPr>
                <w:color w:val="232733"/>
                <w:sz w:val="16"/>
                <w:szCs w:val="16"/>
              </w:rPr>
              <w:t xml:space="preserve">noncash investing and financing activities</w:t>
            </w:r>
          </w:p>
        </w:tc>
        <w:tc>
          <w:tcPr>
            <w:tcW w:type="pct" w:w="2446"/>
            <w:tcMar>
              <w:top w:type="dxa" w:w="50"/>
              <w:left w:type="dxa" w:w="110"/>
              <w:bottom w:type="dxa" w:w="50"/>
              <w:right w:type="dxa" w:w="110"/>
            </w:tcMar>
          </w:tcPr>
          <w:p>
            <w:pPr>
              <w:spacing w:before="26" w:after="26"/>
            </w:pPr>
            <w:r>
              <w:rPr>
                <w:color w:val="232733"/>
                <w:sz w:val="16"/>
                <w:szCs w:val="16"/>
              </w:rPr>
              <w:t xml:space="preserve">الأنشطة الاستثمارية والتمويلية غير النقدية</w:t>
            </w:r>
          </w:p>
        </w:tc>
      </w:tr>
    </w:tbl>
    <w:p/>
    <w:p>
      <w:pPr>
        <w:sectPr>
          <w:headerReference w:type="default" r:id="rIdHdr3"/>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5.2  Classifying cash flows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issuing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Anything</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statement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long-term</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separately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securities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lenders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borrowing</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Cash received from selling Jordan Glass shares</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principal</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Land acquired by issuing a long-term note (no 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repaid</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students</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disclose</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Interest received</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investing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Income taxes paid</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financing 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transactions</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Operating activities are the main revenue activities: cash from customers and cash paid to suppliers and employees. Anything that is not investing or financing is also operating. Investing activities involve long-term assets and other companies' securities: Orontes paid $3,000,000 for equipment and $1,200,000 for its Jordan Glass shares. Financing activities are with owners and lenders. They include issuing and buying back shares, borrowing and repaying principal, and paying dividends. Orontes received $1,500,000 from its share issue and $800,000 from the bank note, repaid $400,000 of debt and paid $50,000 of dividends. U.S. GAAP fixes four items that students often get wrong. Interest paid, interest received, dividends received and income taxes are all operating. Only dividends paid are financing.</w:t>
      </w:r>
    </w:p>
    <w:p>
      <w:pPr>
        <w:spacing w:before="20" w:after="20"/>
        <w:ind w:left="240" w:hanging="240"/>
      </w:pPr>
      <w:r>
        <w:rPr>
          <w:b/>
          <w:bCs/>
          <w:color w:val="353A7C"/>
          <w:sz w:val="15"/>
          <w:szCs w:val="15"/>
        </w:rPr>
        <w:t xml:space="preserve">Summary 2   </w:t>
      </w:r>
      <w:r>
        <w:rPr>
          <w:color w:val="6B7280"/>
          <w:sz w:val="15"/>
          <w:szCs w:val="15"/>
        </w:rPr>
        <w:t xml:space="preserve">Some investing and financing transactions involve no cash at all, such as buying land by issuing shares or a note. These noncash investing and financing activities are not shown in the body of the statement. They are disclosed separately. Orontes had none in 2025. Under IAS 7 today, interest paid can be operating or financing, and interest and dividends received can be operating or investing. The amendments that come with IFRS 18 remove some choices from 2027, but they are not testable before about January 2028.</w:t>
      </w:r>
    </w:p>
    <w:p>
      <w:pPr>
        <w:spacing w:before="20" w:after="20"/>
        <w:ind w:left="240" w:hanging="240"/>
      </w:pPr>
      <w:r>
        <w:rPr>
          <w:b/>
          <w:bCs/>
          <w:color w:val="353A7C"/>
          <w:sz w:val="15"/>
          <w:szCs w:val="15"/>
        </w:rPr>
        <w:t xml:space="preserve">Summary 3   </w:t>
      </w:r>
      <w:r>
        <w:rPr>
          <w:color w:val="6B7280"/>
          <w:sz w:val="15"/>
          <w:szCs w:val="15"/>
        </w:rPr>
        <w:t xml:space="preserve">Interest paid is operating, not financing, under U.S. GAAP. Dividends paid are financing; dividends received are operating. A note issued for land is not a cash flow: disclose it.</w:t>
      </w:r>
    </w:p>
    <w:p>
      <w:pPr>
        <w:sectPr>
          <w:headerReference w:type="default" r:id="rIdHdr4"/>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5.3  The indirect method</w:t>
            </w:r>
          </w:p>
          <w:p>
            <w:pPr>
              <w:spacing w:before="0" w:after="46"/>
            </w:pPr>
            <w:r>
              <w:rPr>
                <w:color w:val="E8EAF6"/>
                <w:sz w:val="16"/>
                <w:szCs w:val="16"/>
              </w:rPr>
              <w:t xml:space="preserve">Chapter 5 · section 5.3</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1–2</w:t>
      </w:r>
    </w:p>
    <w:p>
      <w:pPr>
        <w:spacing w:before="20" w:after="20" w:line="360" w:lineRule="auto"/>
        <w:ind w:left="200"/>
      </w:pPr>
      <w:r>
        <w:rPr>
          <w:sz w:val="19"/>
          <w:szCs w:val="19"/>
        </w:rPr>
        <w:t xml:space="preserve">Most U.S. companies use the indirect method for operating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w:t>
      </w:r>
      <w:r>
        <w:rPr>
          <w:sz w:val="19"/>
          <w:szCs w:val="19"/>
        </w:rPr>
        <w:t xml:space="preserve">It starts with net income and removes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that is not an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Working-capital   ·   activities   ·   everything</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Worked example: Orontes's operating cash flow</w:t>
            </w:r>
          </w:p>
        </w:tc>
      </w:tr>
    </w:tbl>
    <w:p/>
    <w:p>
      <w:pPr>
        <w:spacing w:before="44" w:after="10"/>
      </w:pPr>
      <w:r>
        <w:rPr>
          <w:b/>
          <w:bCs/>
          <w:color w:val="353A7C"/>
          <w:sz w:val="18"/>
          <w:szCs w:val="18"/>
        </w:rPr>
        <w:t xml:space="preserve">The steps, in order</w:t>
      </w:r>
    </w:p>
    <w:p>
      <w:pPr>
        <w:spacing w:before="0" w:after="12"/>
      </w:pPr>
      <w:r>
        <w:rPr>
          <w:color w:val="6B7280"/>
          <w:sz w:val="15"/>
          <w:szCs w:val="15"/>
        </w:rPr>
        <w:t xml:space="preserve">Each stage leads to the next.</w:t>
      </w:r>
    </w:p>
    <w:p>
      <w:pPr>
        <w:spacing w:after="40" w:before="90"/>
        <w:jc w:val="center"/>
      </w:pPr>
      <w:r>
        <w:drawing>
          <wp:inline distT="0" distB="0" distL="0" distR="0">
            <wp:extent cx="5734050" cy="19993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734050" cy="1999375"/>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dividends   ·   operating activities   ·   subtracted   ·   equity-method   ·   add back noncash expenses and losses   ·   receivables</w:t>
            </w:r>
          </w:p>
        </w:tc>
      </w:tr>
    </w:tbl>
    <w:p/>
    <w:p>
      <w:pPr>
        <w:spacing w:before="44" w:after="14"/>
      </w:pPr>
      <w:r>
        <w:rPr>
          <w:b/>
          <w:bCs/>
          <w:color w:val="353A7C"/>
          <w:sz w:val="18"/>
          <w:szCs w:val="18"/>
        </w:rPr>
        <w:t xml:space="preserve">Summary 2</w:t>
      </w:r>
      <w:r>
        <w:rPr>
          <w:color w:val="6B7280"/>
          <w:sz w:val="16"/>
          <w:szCs w:val="16"/>
        </w:rPr>
        <w:t xml:space="preserve">      gaps 8–12</w:t>
      </w:r>
    </w:p>
    <w:p>
      <w:pPr>
        <w:spacing w:before="20" w:after="20" w:line="360" w:lineRule="auto"/>
        <w:ind w:left="200"/>
      </w:pPr>
      <w:r>
        <w:rPr>
          <w:sz w:val="19"/>
          <w:szCs w:val="19"/>
        </w:rPr>
        <w:t xml:space="preserve">Start with net income: $2,969,100. </w:t>
      </w:r>
      <w:r>
        <w:rPr>
          <w:sz w:val="19"/>
          <w:szCs w:val="19"/>
        </w:rPr>
        <w:t xml:space="preserve">Add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impairments and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taxes, which used no cash: $4,924,000. </w:t>
      </w:r>
      <w:r>
        <w:rPr>
          <w:sz w:val="19"/>
          <w:szCs w:val="19"/>
        </w:rPr>
        <w:t xml:space="preserve">Subtract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income of $177,000, add dividends from investees of $70,000, and subtract the oven gain of $3,000 and unrealized gains of $4,000.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changes reduce cash by a net $248,000. </w:t>
      </w:r>
      <w:r>
        <w:rPr>
          <w:sz w:val="19"/>
          <w:szCs w:val="19"/>
        </w:rPr>
        <w:t xml:space="preserve">The total, $7,531,100, equals net cash from operating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subtracted   ·   depreciation   ·   deferred   ·   activities   ·   equity-method   ·   Working-capital</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Indirect-method traps</w:t>
            </w:r>
          </w:p>
        </w:tc>
      </w:tr>
    </w:tbl>
    <w:p/>
    <w:p>
      <w:pPr>
        <w:spacing w:before="44" w:after="14"/>
      </w:pPr>
      <w:r>
        <w:rPr>
          <w:b/>
          <w:bCs/>
          <w:color w:val="353A7C"/>
          <w:sz w:val="18"/>
          <w:szCs w:val="18"/>
        </w:rPr>
        <w:t xml:space="preserve">Summary 3</w:t>
      </w:r>
      <w:r>
        <w:rPr>
          <w:color w:val="6B7280"/>
          <w:sz w:val="16"/>
          <w:szCs w:val="16"/>
        </w:rPr>
        <w:t xml:space="preserve">      gaps 13–15</w:t>
      </w:r>
    </w:p>
    <w:p>
      <w:pPr>
        <w:spacing w:before="20" w:after="20" w:line="360" w:lineRule="auto"/>
        <w:ind w:left="200"/>
      </w:pPr>
      <w:r>
        <w:rPr>
          <w:sz w:val="19"/>
          <w:szCs w:val="19"/>
        </w:rPr>
        <w:t xml:space="preserve">Start from net income, never from operating income. </w:t>
      </w:r>
      <w:r>
        <w:rPr>
          <w:sz w:val="19"/>
          <w:szCs w:val="19"/>
        </w:rPr>
        <w:t xml:space="preserve"/>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payable and notes payable are financing items. </w:t>
      </w:r>
      <w:r>
        <w:rPr>
          <w:sz w:val="19"/>
          <w:szCs w:val="19"/>
        </w:rPr>
        <w:t xml:space="preserve">Do not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their changes in working capital. </w:t>
      </w:r>
      <w:r>
        <w:rPr>
          <w:sz w:val="19"/>
          <w:szCs w:val="19"/>
        </w:rPr>
        <w:t xml:space="preserve">Show the full proceeds of a sale in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and remove the gain from operating.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include   ·   investing   ·   Dividends   ·   unrealized</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00"/>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600"/>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00"/>
            <w:tcMar>
              <w:top w:type="dxa" w:w="50"/>
              <w:left w:type="dxa" w:w="110"/>
              <w:bottom w:type="dxa" w:w="50"/>
              <w:right w:type="dxa" w:w="110"/>
            </w:tcMar>
          </w:tcPr>
          <w:p>
            <w:pPr>
              <w:spacing w:before="26" w:after="26"/>
            </w:pPr>
            <w:r>
              <w:rPr>
                <w:color w:val="232733"/>
                <w:sz w:val="16"/>
                <w:szCs w:val="16"/>
              </w:rPr>
              <w:t xml:space="preserve">indirect method</w:t>
            </w:r>
          </w:p>
        </w:tc>
        <w:tc>
          <w:tcPr>
            <w:tcW w:type="pct" w:w="2600"/>
            <w:tcMar>
              <w:top w:type="dxa" w:w="50"/>
              <w:left w:type="dxa" w:w="110"/>
              <w:bottom w:type="dxa" w:w="50"/>
              <w:right w:type="dxa" w:w="110"/>
            </w:tcMar>
          </w:tcPr>
          <w:p>
            <w:pPr>
              <w:spacing w:before="26" w:after="26"/>
            </w:pPr>
            <w:r>
              <w:rPr>
                <w:color w:val="232733"/>
                <w:sz w:val="16"/>
                <w:szCs w:val="16"/>
              </w:rPr>
              <w:t xml:space="preserve">الطريقة غير المباشرة</w:t>
            </w:r>
          </w:p>
        </w:tc>
      </w:tr>
    </w:tbl>
    <w:p/>
    <w:p>
      <w:pPr>
        <w:sectPr>
          <w:headerReference w:type="default" r:id="rIdHdr5"/>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5.3  The indirect method</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activities</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deferred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everything</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equity-method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add back noncash expenses and losses</w:t>
            </w:r>
          </w:p>
        </w:tc>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Working-capital</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equity-method</w:t>
            </w:r>
          </w:p>
        </w:tc>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activities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dividends</w:t>
            </w:r>
          </w:p>
        </w:tc>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Dividends</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include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subtracted</w:t>
            </w:r>
          </w:p>
        </w:tc>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investing</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depreciation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Most U.S. companies use the indirect method for operating activities. It starts with net income and removes everything that is not an operating cash flow.</w:t>
      </w:r>
    </w:p>
    <w:p>
      <w:pPr>
        <w:spacing w:before="20" w:after="20"/>
        <w:ind w:left="240" w:hanging="240"/>
      </w:pPr>
      <w:r>
        <w:rPr>
          <w:b/>
          <w:bCs/>
          <w:color w:val="353A7C"/>
          <w:sz w:val="15"/>
          <w:szCs w:val="15"/>
        </w:rPr>
        <w:t xml:space="preserve">Summary 2   </w:t>
      </w:r>
      <w:r>
        <w:rPr>
          <w:color w:val="6B7280"/>
          <w:sz w:val="15"/>
          <w:szCs w:val="15"/>
        </w:rPr>
        <w:t xml:space="preserve">Start with net income: $2,969,100. Add depreciation, impairments and deferred taxes, which used no cash: $4,924,000. Subtract equity-method income of $177,000, add dividends from investees of $70,000, and subtract the oven gain of $3,000 and unrealized gains of $4,000. Working-capital changes reduce cash by a net $248,000. The total, $7,531,100, equals net cash from operating activities.</w:t>
      </w:r>
    </w:p>
    <w:p>
      <w:pPr>
        <w:spacing w:before="20" w:after="20"/>
        <w:ind w:left="240" w:hanging="240"/>
      </w:pPr>
      <w:r>
        <w:rPr>
          <w:b/>
          <w:bCs/>
          <w:color w:val="353A7C"/>
          <w:sz w:val="15"/>
          <w:szCs w:val="15"/>
        </w:rPr>
        <w:t xml:space="preserve">Summary 3   </w:t>
      </w:r>
      <w:r>
        <w:rPr>
          <w:color w:val="6B7280"/>
          <w:sz w:val="15"/>
          <w:szCs w:val="15"/>
        </w:rPr>
        <w:t xml:space="preserve">Start from net income, never from operating income. Dividends payable and notes payable are financing items. Do not include their changes in working capital. Show the full proceeds of a sale in investing, and remove the gain from operating.</w:t>
      </w:r>
    </w:p>
    <w:p>
      <w:pPr>
        <w:sectPr>
          <w:headerReference w:type="default" r:id="rIdHdr6"/>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5.4  The direct method and required disclosures</w:t>
            </w:r>
          </w:p>
          <w:p>
            <w:pPr>
              <w:spacing w:before="0" w:after="46"/>
            </w:pPr>
            <w:r>
              <w:rPr>
                <w:color w:val="E8EAF6"/>
                <w:sz w:val="16"/>
                <w:szCs w:val="16"/>
              </w:rPr>
              <w:t xml:space="preserve">Chapter 5 · section 5.4</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1–4</w:t>
      </w:r>
    </w:p>
    <w:p>
      <w:pPr>
        <w:spacing w:before="20" w:after="20" w:line="360" w:lineRule="auto"/>
        <w:ind w:left="200"/>
      </w:pPr>
      <w:r>
        <w:rPr>
          <w:sz w:val="19"/>
          <w:szCs w:val="19"/>
        </w:rPr>
        <w:t xml:space="preserve">The direct method shows the main classes of operating receipts and payments, such as cash from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and cash paid to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The FASB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it, but few companies use it. </w:t>
      </w:r>
      <w:r>
        <w:rPr>
          <w:sz w:val="19"/>
          <w:szCs w:val="19"/>
        </w:rPr>
        <w:t xml:space="preserve">A company that uses it must still show the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of net income to operating cash flow.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encourages   ·   disclose   ·   reconciliation   ·   customers   ·   suppliers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992"/>
        <w:gridCol w:w="4608"/>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Orontes Foods Inc. — operating activities by the direct method, 2025</w:t>
            </w:r>
          </w:p>
        </w:tc>
      </w:tr>
      <w:tr>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Orontes, 2025, direct method (whole USD)</w:t>
            </w:r>
          </w:p>
        </w:tc>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2025</w:t>
            </w:r>
          </w:p>
        </w:tc>
      </w:tr>
      <w:tr>
        <w:tc>
          <w:tcPr>
            <w:tcW w:type="pct" w:w="2600"/>
            <w:tcMar>
              <w:top w:type="dxa" w:w="50"/>
              <w:left w:type="dxa" w:w="110"/>
              <w:bottom w:type="dxa" w:w="50"/>
              <w:right w:type="dxa" w:w="110"/>
            </w:tcMar>
          </w:tcPr>
          <w:p>
            <w:pPr>
              <w:spacing w:before="28" w:after="28"/>
            </w:pPr>
            <w:r>
              <w:rPr>
                <w:sz w:val="15"/>
                <w:szCs w:val="15"/>
              </w:rPr>
              <w:t xml:space="preserve">Cash received from customers</w:t>
            </w:r>
          </w:p>
        </w:tc>
        <w:tc>
          <w:tcPr>
            <w:tcW w:type="pct" w:w="2400"/>
            <w:tcMar>
              <w:top w:type="dxa" w:w="50"/>
              <w:left w:type="dxa" w:w="110"/>
              <w:bottom w:type="dxa" w:w="50"/>
              <w:right w:type="dxa" w:w="110"/>
            </w:tcMar>
          </w:tcPr>
          <w:p>
            <w:pPr>
              <w:spacing w:before="28" w:after="28"/>
            </w:pPr>
            <w:r>
              <w:rPr>
                <w:sz w:val="15"/>
                <w:szCs w:val="15"/>
              </w:rPr>
              <w:t xml:space="preserve">41,598,000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(5)</w:t>
            </w:r>
          </w:p>
        </w:tc>
        <w:tc>
          <w:tcPr>
            <w:tcW w:type="pct" w:w="2400"/>
            <w:shd w:fill="FBFAF6" w:val="clear"/>
            <w:tcMar>
              <w:top w:type="dxa" w:w="50"/>
              <w:left w:type="dxa" w:w="110"/>
              <w:bottom w:type="dxa" w:w="50"/>
              <w:right w:type="dxa" w:w="110"/>
            </w:tcMar>
          </w:tcPr>
          <w:p>
            <w:pPr>
              <w:spacing w:before="28" w:after="28"/>
            </w:pPr>
            <w:r>
              <w:rPr>
                <w:sz w:val="15"/>
                <w:szCs w:val="15"/>
              </w:rPr>
              <w:t xml:space="preserve">(32,911,000)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(6)</w:t>
            </w:r>
          </w:p>
        </w:tc>
        <w:tc>
          <w:tcPr>
            <w:tcW w:type="pct" w:w="2400"/>
            <w:tcMar>
              <w:top w:type="dxa" w:w="50"/>
              <w:left w:type="dxa" w:w="110"/>
              <w:bottom w:type="dxa" w:w="50"/>
              <w:right w:type="dxa" w:w="110"/>
            </w:tcMar>
          </w:tcPr>
          <w:p>
            <w:pPr>
              <w:spacing w:before="28" w:after="28"/>
            </w:pPr>
            <w:r>
              <w:rPr>
                <w:sz w:val="15"/>
                <w:szCs w:val="15"/>
              </w:rPr>
              <w:t xml:space="preserve">73,800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Interest paid</w:t>
            </w:r>
          </w:p>
        </w:tc>
        <w:tc>
          <w:tcPr>
            <w:tcW w:type="pct" w:w="2400"/>
            <w:shd w:fill="FBFAF6" w:val="clear"/>
            <w:tcMar>
              <w:top w:type="dxa" w:w="50"/>
              <w:left w:type="dxa" w:w="110"/>
              <w:bottom w:type="dxa" w:w="50"/>
              <w:right w:type="dxa" w:w="110"/>
            </w:tcMar>
          </w:tcPr>
          <w:p>
            <w:pPr>
              <w:spacing w:before="28" w:after="28"/>
            </w:pPr>
            <w:r>
              <w:rPr>
                <w:sz w:val="15"/>
                <w:szCs w:val="15"/>
              </w:rPr>
              <w:t xml:space="preserve">(390,000)</w:t>
            </w:r>
          </w:p>
        </w:tc>
      </w:tr>
      <w:tr>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(7)</w:t>
            </w:r>
          </w:p>
        </w:tc>
        <w:tc>
          <w:tcPr>
            <w:tcW w:type="pct" w:w="2400"/>
            <w:tcMar>
              <w:top w:type="dxa" w:w="50"/>
              <w:left w:type="dxa" w:w="110"/>
              <w:bottom w:type="dxa" w:w="50"/>
              <w:right w:type="dxa" w:w="110"/>
            </w:tcMar>
          </w:tcPr>
          <w:p>
            <w:pPr>
              <w:spacing w:before="28" w:after="28"/>
            </w:pPr>
            <w:r>
              <w:rPr>
                <w:sz w:val="15"/>
                <w:szCs w:val="15"/>
              </w:rPr>
              <w:t xml:space="preserve">(839,700)</w:t>
            </w:r>
          </w:p>
        </w:tc>
      </w:tr>
      <w:tr>
        <w:tc>
          <w:tcPr>
            <w:tcW w:type="pct" w:w="2600"/>
            <w:shd w:fill="FBFAF6" w:val="clear"/>
            <w:tcMar>
              <w:top w:type="dxa" w:w="50"/>
              <w:left w:type="dxa" w:w="110"/>
              <w:bottom w:type="dxa" w:w="50"/>
              <w:right w:type="dxa" w:w="110"/>
            </w:tcMar>
          </w:tcPr>
          <w:p>
            <w:pPr>
              <w:spacing w:before="28" w:after="28"/>
            </w:pPr>
            <w:r>
              <w:rPr>
                <w:sz w:val="15"/>
                <w:szCs w:val="15"/>
              </w:rPr>
              <w:t xml:space="preserve">Net cash provided by operating activities</w:t>
            </w:r>
          </w:p>
        </w:tc>
        <w:tc>
          <w:tcPr>
            <w:tcW w:type="pct" w:w="2400"/>
            <w:shd w:fill="FBFAF6" w:val="clear"/>
            <w:tcMar>
              <w:top w:type="dxa" w:w="50"/>
              <w:left w:type="dxa" w:w="110"/>
              <w:bottom w:type="dxa" w:w="50"/>
              <w:right w:type="dxa" w:w="110"/>
            </w:tcMar>
          </w:tcPr>
          <w:p>
            <w:pPr>
              <w:spacing w:before="28" w:after="28"/>
            </w:pPr>
            <w:r>
              <w:rPr>
                <w:sz w:val="15"/>
                <w:szCs w:val="15"/>
              </w:rPr>
              <w:t xml:space="preserve">7,531,100</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Cash paid to suppliers and employees   ·   statement of cash flows   ·   Income taxes paid   ·   Interest and dividends received</w:t>
            </w:r>
          </w:p>
        </w:tc>
      </w:tr>
    </w:tbl>
    <w:p/>
    <w:p>
      <w:pPr>
        <w:spacing w:before="44" w:after="14"/>
      </w:pPr>
      <w:r>
        <w:rPr>
          <w:b/>
          <w:bCs/>
          <w:color w:val="353A7C"/>
          <w:sz w:val="18"/>
          <w:szCs w:val="18"/>
        </w:rPr>
        <w:t xml:space="preserve">Summary 2</w:t>
      </w:r>
      <w:r>
        <w:rPr>
          <w:color w:val="6B7280"/>
          <w:sz w:val="16"/>
          <w:szCs w:val="16"/>
        </w:rPr>
        <w:t xml:space="preserve">      gaps 8–10</w:t>
      </w:r>
    </w:p>
    <w:p>
      <w:pPr>
        <w:spacing w:before="20" w:after="20" w:line="360" w:lineRule="auto"/>
        <w:ind w:left="200"/>
      </w:pPr>
      <w:r>
        <w:rPr>
          <w:sz w:val="19"/>
          <w:szCs w:val="19"/>
        </w:rPr>
        <w:t xml:space="preserve">A company using the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method must disclose interest paid and income taxes paid. </w:t>
      </w:r>
      <w:r>
        <w:rPr>
          <w:sz w:val="19"/>
          <w:szCs w:val="19"/>
        </w:rPr>
        <w:t xml:space="preserve"/>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paid $390,000 of interest and $839,700 of income taxes. </w:t>
      </w:r>
      <w:r>
        <w:rPr>
          <w:sz w:val="19"/>
          <w:szCs w:val="19"/>
        </w:rPr>
        <w:t xml:space="preserve">Taxes paid are the current tax expense of $889,700 less the $50,000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in taxes payable.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reconciliation   ·   indirect   ·   increase   ·   Orontes</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36"/>
        <w:gridCol w:w="4964"/>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The English this sheet uses, and its Arabic</w:t>
            </w:r>
          </w:p>
        </w:tc>
      </w:tr>
      <w:tr>
        <w:tc>
          <w:tcPr>
            <w:tcW w:type="pct" w:w="2415"/>
            <w:tcMar>
              <w:top w:type="dxa" w:w="50"/>
              <w:left w:type="dxa" w:w="110"/>
              <w:bottom w:type="dxa" w:w="50"/>
              <w:right w:type="dxa" w:w="110"/>
            </w:tcMar>
          </w:tcPr>
          <w:p>
            <w:pPr>
              <w:spacing w:before="26" w:after="26"/>
            </w:pPr>
            <w:r>
              <w:rPr>
                <w:b/>
                <w:bCs/>
                <w:color w:val="353A7C"/>
                <w:sz w:val="15"/>
                <w:szCs w:val="15"/>
              </w:rPr>
              <w:t xml:space="preserve">English (exam term)</w:t>
            </w:r>
          </w:p>
        </w:tc>
        <w:tc>
          <w:tcPr>
            <w:tcW w:type="pct" w:w="2585"/>
            <w:tcMar>
              <w:top w:type="dxa" w:w="50"/>
              <w:left w:type="dxa" w:w="110"/>
              <w:bottom w:type="dxa" w:w="50"/>
              <w:right w:type="dxa" w:w="110"/>
            </w:tcMar>
          </w:tcPr>
          <w:p>
            <w:pPr>
              <w:spacing w:before="26" w:after="26"/>
            </w:pPr>
            <w:r>
              <w:rPr>
                <w:b/>
                <w:bCs/>
                <w:color w:val="353A7C"/>
                <w:sz w:val="15"/>
                <w:szCs w:val="15"/>
              </w:rPr>
              <w:t xml:space="preserve">Arabic</w:t>
            </w:r>
          </w:p>
        </w:tc>
      </w:tr>
      <w:tr>
        <w:tc>
          <w:tcPr>
            <w:tcW w:type="pct" w:w="2415"/>
            <w:tcMar>
              <w:top w:type="dxa" w:w="50"/>
              <w:left w:type="dxa" w:w="110"/>
              <w:bottom w:type="dxa" w:w="50"/>
              <w:right w:type="dxa" w:w="110"/>
            </w:tcMar>
          </w:tcPr>
          <w:p>
            <w:pPr>
              <w:spacing w:before="26" w:after="26"/>
            </w:pPr>
            <w:r>
              <w:rPr>
                <w:color w:val="232733"/>
                <w:sz w:val="16"/>
                <w:szCs w:val="16"/>
              </w:rPr>
              <w:t xml:space="preserve">direct method</w:t>
            </w:r>
          </w:p>
        </w:tc>
        <w:tc>
          <w:tcPr>
            <w:tcW w:type="pct" w:w="2585"/>
            <w:tcMar>
              <w:top w:type="dxa" w:w="50"/>
              <w:left w:type="dxa" w:w="110"/>
              <w:bottom w:type="dxa" w:w="50"/>
              <w:right w:type="dxa" w:w="110"/>
            </w:tcMar>
          </w:tcPr>
          <w:p>
            <w:pPr>
              <w:spacing w:before="26" w:after="26"/>
            </w:pPr>
            <w:r>
              <w:rPr>
                <w:color w:val="232733"/>
                <w:sz w:val="16"/>
                <w:szCs w:val="16"/>
              </w:rPr>
              <w:t xml:space="preserve">الطريقة المباشرة</w:t>
            </w:r>
          </w:p>
        </w:tc>
      </w:tr>
    </w:tbl>
    <w:p/>
    <w:p>
      <w:pPr>
        <w:sectPr>
          <w:headerReference w:type="default" r:id="rIdHdr7"/>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5.4  The direct method and required disclosures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customers</w:t>
            </w:r>
          </w:p>
        </w:tc>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Interest and dividends received</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Income taxes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encourages</w:t>
            </w:r>
          </w:p>
        </w:tc>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indirect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reconciliation</w:t>
            </w:r>
          </w:p>
        </w:tc>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Orontes</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Cash paid to suppliers and employees</w:t>
            </w:r>
          </w:p>
        </w:tc>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increase</w:t>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The direct method shows the main classes of operating receipts and payments, such as cash from customers and cash paid to suppliers. The FASB encourages it, but few companies use it. A company that uses it must still show the reconciliation of net income to operating cash flow.</w:t>
      </w:r>
    </w:p>
    <w:p>
      <w:pPr>
        <w:spacing w:before="20" w:after="20"/>
        <w:ind w:left="240" w:hanging="240"/>
      </w:pPr>
      <w:r>
        <w:rPr>
          <w:b/>
          <w:bCs/>
          <w:color w:val="353A7C"/>
          <w:sz w:val="15"/>
          <w:szCs w:val="15"/>
        </w:rPr>
        <w:t xml:space="preserve">Summary 2   </w:t>
      </w:r>
      <w:r>
        <w:rPr>
          <w:color w:val="6B7280"/>
          <w:sz w:val="15"/>
          <w:szCs w:val="15"/>
        </w:rPr>
        <w:t xml:space="preserve">A company using the indirect method must disclose interest paid and income taxes paid. Orontes paid $390,000 of interest and $839,700 of income taxes. Taxes paid are the current tax expense of $889,700 less the $50,000 increase in taxes payable.</w:t>
      </w:r>
    </w:p>
    <w:p>
      <w:pPr>
        <w:sectPr>
          <w:headerReference w:type="default" r:id="rIdHdr8"/>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50" w:after="14"/>
            </w:pPr>
            <w:r>
              <w:rPr>
                <w:b/>
                <w:bCs/>
                <w:color w:val="FFFFFF"/>
                <w:sz w:val="22"/>
                <w:szCs w:val="22"/>
              </w:rPr>
              <w:t xml:space="preserve">5.5  Limitations and links between the four statements</w:t>
            </w:r>
          </w:p>
          <w:p>
            <w:pPr>
              <w:spacing w:before="0" w:after="46"/>
            </w:pPr>
            <w:r>
              <w:rPr>
                <w:color w:val="E8EAF6"/>
                <w:sz w:val="16"/>
                <w:szCs w:val="16"/>
              </w:rPr>
              <w:t xml:space="preserve">Chapter 5 · section 5.5</w:t>
            </w:r>
          </w:p>
        </w:tc>
      </w:tr>
    </w:tbl>
    <w:p/>
    <w:p>
      <w:pPr>
        <w:spacing w:before="10" w:after="40"/>
      </w:pPr>
      <w:r>
        <w:rPr>
          <w:color w:val="6B7280"/>
          <w:sz w:val="17"/>
          <w:szCs w:val="17"/>
        </w:rPr>
        <w:t xml:space="preserve">Fill every gap. Each word list holds one word more than there are gaps.</w:t>
      </w:r>
    </w:p>
    <w:p>
      <w:pPr>
        <w:spacing w:before="44" w:after="14"/>
      </w:pPr>
      <w:r>
        <w:rPr>
          <w:b/>
          <w:bCs/>
          <w:color w:val="353A7C"/>
          <w:sz w:val="18"/>
          <w:szCs w:val="18"/>
        </w:rPr>
        <w:t xml:space="preserve">Summary 1</w:t>
      </w:r>
      <w:r>
        <w:rPr>
          <w:color w:val="6B7280"/>
          <w:sz w:val="16"/>
          <w:szCs w:val="16"/>
        </w:rPr>
        <w:t xml:space="preserve">      gaps 1–12</w:t>
      </w:r>
    </w:p>
    <w:p>
      <w:pPr>
        <w:spacing w:before="20" w:after="20" w:line="360" w:lineRule="auto"/>
        <w:ind w:left="200"/>
      </w:pPr>
      <w:r>
        <w:rPr>
          <w:sz w:val="19"/>
          <w:szCs w:val="19"/>
        </w:rPr>
        <w:t xml:space="preserve">Cash flows are harder to </w:t>
      </w:r>
      <w:r>
        <w:rPr>
          <w:b/>
          <w:bCs/>
          <w:color w:val="8186EF"/>
          <w:sz w:val="15"/>
          <w:szCs w:val="15"/>
        </w:rPr>
        <w:t xml:space="preserve"> (1) </w:t>
      </w:r>
      <w:r>
        <w:rPr>
          <w:u w:val="single"/>
          <w:sz w:val="19"/>
          <w:szCs w:val="19"/>
        </w:rPr>
        <w:t xml:space="preserve">           </w:t>
      </w:r>
      <w:r>
        <w:rPr>
          <w:sz w:val="19"/>
          <w:szCs w:val="19"/>
        </w:rPr>
        <w:t xml:space="preserve"> </w:t>
      </w:r>
      <w:r>
        <w:rPr>
          <w:sz w:val="19"/>
          <w:szCs w:val="19"/>
        </w:rPr>
        <w:t xml:space="preserve"> than profits, but not </w:t>
      </w:r>
      <w:r>
        <w:rPr>
          <w:b/>
          <w:bCs/>
          <w:color w:val="8186EF"/>
          <w:sz w:val="15"/>
          <w:szCs w:val="15"/>
        </w:rPr>
        <w:t xml:space="preserve"> (2) </w:t>
      </w:r>
      <w:r>
        <w:rPr>
          <w:u w:val="single"/>
          <w:sz w:val="19"/>
          <w:szCs w:val="19"/>
        </w:rPr>
        <w:t xml:space="preserve">            </w:t>
      </w:r>
      <w:r>
        <w:rPr>
          <w:sz w:val="19"/>
          <w:szCs w:val="19"/>
        </w:rPr>
        <w:t xml:space="preserve"> </w:t>
      </w:r>
      <w:r>
        <w:rPr>
          <w:sz w:val="19"/>
          <w:szCs w:val="19"/>
        </w:rPr>
        <w:t xml:space="preserve">. </w:t>
      </w:r>
      <w:r>
        <w:rPr>
          <w:sz w:val="19"/>
          <w:szCs w:val="19"/>
        </w:rPr>
        <w:t xml:space="preserve">A company can raise operating cash near year-end by delaying payments to </w:t>
      </w:r>
      <w:r>
        <w:rPr>
          <w:b/>
          <w:bCs/>
          <w:color w:val="8186EF"/>
          <w:sz w:val="15"/>
          <w:szCs w:val="15"/>
        </w:rPr>
        <w:t xml:space="preserve"> (3) </w:t>
      </w:r>
      <w:r>
        <w:rPr>
          <w:u w:val="single"/>
          <w:sz w:val="19"/>
          <w:szCs w:val="19"/>
        </w:rPr>
        <w:t xml:space="preserve">           </w:t>
      </w:r>
      <w:r>
        <w:rPr>
          <w:sz w:val="19"/>
          <w:szCs w:val="19"/>
        </w:rPr>
        <w:t xml:space="preserve"> </w:t>
      </w:r>
      <w:r>
        <w:rPr>
          <w:sz w:val="19"/>
          <w:szCs w:val="19"/>
        </w:rPr>
        <w:t xml:space="preserve"> or by selling </w:t>
      </w:r>
      <w:r>
        <w:rPr>
          <w:b/>
          <w:bCs/>
          <w:color w:val="8186EF"/>
          <w:sz w:val="15"/>
          <w:szCs w:val="15"/>
        </w:rPr>
        <w:t xml:space="preserve"> (4) </w:t>
      </w:r>
      <w:r>
        <w:rPr>
          <w:u w:val="single"/>
          <w:sz w:val="19"/>
          <w:szCs w:val="19"/>
        </w:rPr>
        <w:t xml:space="preserve">             </w:t>
      </w:r>
      <w:r>
        <w:rPr>
          <w:sz w:val="19"/>
          <w:szCs w:val="19"/>
        </w:rPr>
        <w:t xml:space="preserve"> </w:t>
      </w:r>
      <w:r>
        <w:rPr>
          <w:sz w:val="19"/>
          <w:szCs w:val="19"/>
        </w:rPr>
        <w:t xml:space="preserve">. </w:t>
      </w:r>
      <w:r>
        <w:rPr>
          <w:sz w:val="19"/>
          <w:szCs w:val="19"/>
        </w:rPr>
        <w:t xml:space="preserve">The </w:t>
      </w:r>
      <w:r>
        <w:rPr>
          <w:b/>
          <w:bCs/>
          <w:color w:val="8186EF"/>
          <w:sz w:val="15"/>
          <w:szCs w:val="15"/>
        </w:rPr>
        <w:t xml:space="preserve"> (5) </w:t>
      </w:r>
      <w:r>
        <w:rPr>
          <w:u w:val="single"/>
          <w:sz w:val="19"/>
          <w:szCs w:val="19"/>
        </w:rPr>
        <w:t xml:space="preserve">           </w:t>
      </w:r>
      <w:r>
        <w:rPr>
          <w:sz w:val="19"/>
          <w:szCs w:val="19"/>
        </w:rPr>
        <w:t xml:space="preserve"> </w:t>
      </w:r>
      <w:r>
        <w:rPr>
          <w:sz w:val="19"/>
          <w:szCs w:val="19"/>
        </w:rPr>
        <w:t xml:space="preserve"> also shows only one year, and it is not a </w:t>
      </w:r>
      <w:r>
        <w:rPr>
          <w:b/>
          <w:bCs/>
          <w:color w:val="8186EF"/>
          <w:sz w:val="15"/>
          <w:szCs w:val="15"/>
        </w:rPr>
        <w:t xml:space="preserve"> (6) </w:t>
      </w:r>
      <w:r>
        <w:rPr>
          <w:u w:val="single"/>
          <w:sz w:val="19"/>
          <w:szCs w:val="19"/>
        </w:rPr>
        <w:t xml:space="preserve">           </w:t>
      </w:r>
      <w:r>
        <w:rPr>
          <w:sz w:val="19"/>
          <w:szCs w:val="19"/>
        </w:rPr>
        <w:t xml:space="preserve"> </w:t>
      </w:r>
      <w:r>
        <w:rPr>
          <w:sz w:val="19"/>
          <w:szCs w:val="19"/>
        </w:rPr>
        <w:t xml:space="preserve"> of profit. </w:t>
      </w:r>
      <w:r>
        <w:rPr>
          <w:sz w:val="19"/>
          <w:szCs w:val="19"/>
        </w:rPr>
        <w:t xml:space="preserve"/>
      </w:r>
      <w:r>
        <w:rPr>
          <w:b/>
          <w:bCs/>
          <w:color w:val="8186EF"/>
          <w:sz w:val="15"/>
          <w:szCs w:val="15"/>
        </w:rPr>
        <w:t xml:space="preserve"> (7) </w:t>
      </w:r>
      <w:r>
        <w:rPr>
          <w:u w:val="single"/>
          <w:sz w:val="19"/>
          <w:szCs w:val="19"/>
        </w:rPr>
        <w:t xml:space="preserve">           </w:t>
      </w:r>
      <w:r>
        <w:rPr>
          <w:sz w:val="19"/>
          <w:szCs w:val="19"/>
        </w:rPr>
        <w:t xml:space="preserve"> </w:t>
      </w:r>
      <w:r>
        <w:rPr>
          <w:sz w:val="19"/>
          <w:szCs w:val="19"/>
        </w:rPr>
        <w:t xml:space="preserve"> noncash deals, such as buying a </w:t>
      </w:r>
      <w:r>
        <w:rPr>
          <w:b/>
          <w:bCs/>
          <w:color w:val="8186EF"/>
          <w:sz w:val="15"/>
          <w:szCs w:val="15"/>
        </w:rPr>
        <w:t xml:space="preserve"> (8) </w:t>
      </w:r>
      <w:r>
        <w:rPr>
          <w:u w:val="single"/>
          <w:sz w:val="19"/>
          <w:szCs w:val="19"/>
        </w:rPr>
        <w:t xml:space="preserve">           </w:t>
      </w:r>
      <w:r>
        <w:rPr>
          <w:sz w:val="19"/>
          <w:szCs w:val="19"/>
        </w:rPr>
        <w:t xml:space="preserve"> </w:t>
      </w:r>
      <w:r>
        <w:rPr>
          <w:sz w:val="19"/>
          <w:szCs w:val="19"/>
        </w:rPr>
        <w:t xml:space="preserve"> with a mortgage, appear only in the notes. </w:t>
      </w:r>
      <w:r>
        <w:rPr>
          <w:sz w:val="19"/>
          <w:szCs w:val="19"/>
        </w:rPr>
        <w:t xml:space="preserve">Some </w:t>
      </w:r>
      <w:r>
        <w:rPr>
          <w:b/>
          <w:bCs/>
          <w:color w:val="8186EF"/>
          <w:sz w:val="15"/>
          <w:szCs w:val="15"/>
        </w:rPr>
        <w:t xml:space="preserve"> (9) </w:t>
      </w:r>
      <w:r>
        <w:rPr>
          <w:u w:val="single"/>
          <w:sz w:val="19"/>
          <w:szCs w:val="19"/>
        </w:rPr>
        <w:t xml:space="preserve">                 </w:t>
      </w:r>
      <w:r>
        <w:rPr>
          <w:sz w:val="19"/>
          <w:szCs w:val="19"/>
        </w:rPr>
        <w:t xml:space="preserve"> </w:t>
      </w:r>
      <w:r>
        <w:rPr>
          <w:sz w:val="19"/>
          <w:szCs w:val="19"/>
        </w:rPr>
        <w:t xml:space="preserve"> are also arbitrary: </w:t>
      </w:r>
      <w:r>
        <w:rPr>
          <w:b/>
          <w:bCs/>
          <w:color w:val="8186EF"/>
          <w:sz w:val="15"/>
          <w:szCs w:val="15"/>
        </w:rPr>
        <w:t xml:space="preserve"> (10) </w:t>
      </w:r>
      <w:r>
        <w:rPr>
          <w:u w:val="single"/>
          <w:sz w:val="19"/>
          <w:szCs w:val="19"/>
        </w:rPr>
        <w:t xml:space="preserve">           </w:t>
      </w:r>
      <w:r>
        <w:rPr>
          <w:sz w:val="19"/>
          <w:szCs w:val="19"/>
        </w:rPr>
        <w:t xml:space="preserve"> </w:t>
      </w:r>
      <w:r>
        <w:rPr>
          <w:sz w:val="19"/>
          <w:szCs w:val="19"/>
        </w:rPr>
        <w:t xml:space="preserve"> paid is operating under U.S. GAAP but may be financing under IFRS, which makes companies harder to compare. </w:t>
      </w:r>
      <w:r>
        <w:rPr>
          <w:sz w:val="19"/>
          <w:szCs w:val="19"/>
        </w:rPr>
        <w:t xml:space="preserve"/>
      </w:r>
      <w:r>
        <w:rPr>
          <w:b/>
          <w:bCs/>
          <w:color w:val="8186EF"/>
          <w:sz w:val="15"/>
          <w:szCs w:val="15"/>
        </w:rPr>
        <w:t xml:space="preserve"> (11) </w:t>
      </w:r>
      <w:r>
        <w:rPr>
          <w:u w:val="single"/>
          <w:sz w:val="19"/>
          <w:szCs w:val="19"/>
        </w:rPr>
        <w:t xml:space="preserve">           </w:t>
      </w:r>
      <w:r>
        <w:rPr>
          <w:sz w:val="19"/>
          <w:szCs w:val="19"/>
        </w:rPr>
        <w:t xml:space="preserve"> </w:t>
      </w:r>
      <w:r>
        <w:rPr>
          <w:sz w:val="19"/>
          <w:szCs w:val="19"/>
        </w:rPr>
        <w:t xml:space="preserve">, one year of cash flows can </w:t>
      </w:r>
      <w:r>
        <w:rPr>
          <w:b/>
          <w:bCs/>
          <w:color w:val="8186EF"/>
          <w:sz w:val="15"/>
          <w:szCs w:val="15"/>
        </w:rPr>
        <w:t xml:space="preserve"> (12) </w:t>
      </w:r>
      <w:r>
        <w:rPr>
          <w:u w:val="single"/>
          <w:sz w:val="19"/>
          <w:szCs w:val="19"/>
        </w:rPr>
        <w:t xml:space="preserve">           </w:t>
      </w:r>
      <w:r>
        <w:rPr>
          <w:sz w:val="19"/>
          <w:szCs w:val="19"/>
        </w:rPr>
        <w:t xml:space="preserve"> </w:t>
      </w:r>
      <w:r>
        <w:rPr>
          <w:sz w:val="19"/>
          <w:szCs w:val="19"/>
        </w:rPr>
        <w:t xml:space="preserve">. </w:t>
      </w:r>
      <w:r>
        <w:rPr>
          <w:sz w:val="19"/>
          <w:szCs w:val="19"/>
        </w:rPr>
        <w:t xml:space="preserve">A company that stops investing will show strong cash flow for a while, even if its future is weak. </w:t>
      </w:r>
      <w:r>
        <w:rPr>
          <w:sz w:val="19"/>
          <w:szCs w:val="19"/>
        </w:rPr>
        <w:t xml:space="preserve">The links also help you find amounts that are not given. </w:t>
      </w:r>
      <w:r>
        <w:rPr>
          <w:sz w:val="19"/>
          <w:szCs w:val="19"/>
        </w:rPr>
        <w:t xml:space="preserve">Orontes declared dividends of $450,000, but dividends payable rose by $400,000, so dividends paid were only $50,000. </w:t>
      </w:r>
      <w:r>
        <w:rPr>
          <w:sz w:val="19"/>
          <w:szCs w:val="19"/>
        </w:rPr>
        <w:t xml:space="preserve">That is the amount in the financing section.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Finally   ·   classifications   ·   mislead   ·   Important   ·   delaying   ·   manage   ·   impossible   ·   interest   ·   suppliers   ·   statement   ·   measure   ·   building   ·   receivables</w:t>
            </w:r>
          </w:p>
        </w:tc>
      </w:tr>
    </w:tbl>
    <w:p/>
    <w:p>
      <w:pPr>
        <w:spacing w:before="44" w:after="14"/>
      </w:pPr>
      <w:r>
        <w:rPr>
          <w:b/>
          <w:bCs/>
          <w:color w:val="353A7C"/>
          <w:sz w:val="18"/>
          <w:szCs w:val="18"/>
        </w:rPr>
        <w:t xml:space="preserve">Summary 2</w:t>
      </w:r>
      <w:r>
        <w:rPr>
          <w:color w:val="6B7280"/>
          <w:sz w:val="16"/>
          <w:szCs w:val="16"/>
        </w:rPr>
        <w:t xml:space="preserve">      gaps 13–16</w:t>
      </w:r>
    </w:p>
    <w:p>
      <w:pPr>
        <w:spacing w:before="20" w:after="20" w:line="360" w:lineRule="auto"/>
        <w:ind w:left="200"/>
      </w:pPr>
      <w:r>
        <w:rPr>
          <w:sz w:val="19"/>
          <w:szCs w:val="19"/>
        </w:rPr>
        <w:t xml:space="preserve">In August 2026 the FASB proposed new </w:t>
      </w:r>
      <w:r>
        <w:rPr>
          <w:b/>
          <w:bCs/>
          <w:color w:val="8186EF"/>
          <w:sz w:val="15"/>
          <w:szCs w:val="15"/>
        </w:rPr>
        <w:t xml:space="preserve"> (13) </w:t>
      </w:r>
      <w:r>
        <w:rPr>
          <w:u w:val="single"/>
          <w:sz w:val="19"/>
          <w:szCs w:val="19"/>
        </w:rPr>
        <w:t xml:space="preserve">             </w:t>
      </w:r>
      <w:r>
        <w:rPr>
          <w:sz w:val="19"/>
          <w:szCs w:val="19"/>
        </w:rPr>
        <w:t xml:space="preserve"> </w:t>
      </w:r>
      <w:r>
        <w:rPr>
          <w:sz w:val="19"/>
          <w:szCs w:val="19"/>
        </w:rPr>
        <w:t xml:space="preserve"> about the parts of cash equivalents and about some </w:t>
      </w:r>
      <w:r>
        <w:rPr>
          <w:b/>
          <w:bCs/>
          <w:color w:val="8186EF"/>
          <w:sz w:val="15"/>
          <w:szCs w:val="15"/>
        </w:rPr>
        <w:t xml:space="preserve"> (14) </w:t>
      </w:r>
      <w:r>
        <w:rPr>
          <w:u w:val="single"/>
          <w:sz w:val="19"/>
          <w:szCs w:val="19"/>
        </w:rPr>
        <w:t xml:space="preserve">           </w:t>
      </w:r>
      <w:r>
        <w:rPr>
          <w:sz w:val="19"/>
          <w:szCs w:val="19"/>
        </w:rPr>
        <w:t xml:space="preserve"> </w:t>
      </w:r>
      <w:r>
        <w:rPr>
          <w:sz w:val="19"/>
          <w:szCs w:val="19"/>
        </w:rPr>
        <w:t xml:space="preserve"> assets. </w:t>
      </w:r>
      <w:r>
        <w:rPr>
          <w:sz w:val="19"/>
          <w:szCs w:val="19"/>
        </w:rPr>
        <w:t xml:space="preserve">It is only a proposal; the </w:t>
      </w:r>
      <w:r>
        <w:rPr>
          <w:b/>
          <w:bCs/>
          <w:color w:val="8186EF"/>
          <w:sz w:val="15"/>
          <w:szCs w:val="15"/>
        </w:rPr>
        <w:t xml:space="preserve"> (15) </w:t>
      </w:r>
      <w:r>
        <w:rPr>
          <w:u w:val="single"/>
          <w:sz w:val="19"/>
          <w:szCs w:val="19"/>
        </w:rPr>
        <w:t xml:space="preserve">            </w:t>
      </w:r>
      <w:r>
        <w:rPr>
          <w:sz w:val="19"/>
          <w:szCs w:val="19"/>
        </w:rPr>
        <w:t xml:space="preserve"> </w:t>
      </w:r>
      <w:r>
        <w:rPr>
          <w:sz w:val="19"/>
          <w:szCs w:val="19"/>
        </w:rPr>
        <w:t xml:space="preserve"> of cash equivalents does not </w:t>
      </w:r>
      <w:r>
        <w:rPr>
          <w:b/>
          <w:bCs/>
          <w:color w:val="8186EF"/>
          <w:sz w:val="15"/>
          <w:szCs w:val="15"/>
        </w:rPr>
        <w:t xml:space="preserve"> (16) </w:t>
      </w:r>
      <w:r>
        <w:rPr>
          <w:u w:val="single"/>
          <w:sz w:val="19"/>
          <w:szCs w:val="19"/>
        </w:rPr>
        <w:t xml:space="preserve">           </w:t>
      </w:r>
      <w:r>
        <w:rPr>
          <w:sz w:val="19"/>
          <w:szCs w:val="19"/>
        </w:rPr>
        <w:t xml:space="preserve"> </w:t>
      </w:r>
      <w:r>
        <w:rPr>
          <w:sz w:val="19"/>
          <w:szCs w:val="19"/>
        </w:rPr>
        <w:t xml:space="preserve">. </w:t>
      </w:r>
      <w:r>
        <w:rPr>
          <w:sz w:val="19"/>
          <w:szCs w:val="19"/>
        </w:rPr>
        <w:t xml:space="preserve">ASU 2023-09 already requires income taxes paid by jurisdiction; know this at awareness level. </w:t>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disclosures   ·   change   ·   definition   ·   digital   ·   payments</w:t>
            </w:r>
          </w:p>
        </w:tc>
      </w:tr>
    </w:tbl>
    <w:p/>
    <w:tbl>
      <w:tblPr>
        <w:tblW w:type="pct" w:w="100%"/>
        <w:tblLayout w:type="fixed"/>
        <w:tblBorders>
          <w:top w:val="single" w:color="353A7C" w:sz="4"/>
          <w:left w:val="single" w:color="353A7C" w:sz="4"/>
          <w:bottom w:val="single" w:color="353A7C" w:sz="4"/>
          <w:right w:val="single" w:color="353A7C" w:sz="4"/>
          <w:insideH w:val="single" w:color="353A7C" w:sz="4"/>
          <w:insideV w:val="single" w:color="353A7C" w:sz="4"/>
        </w:tblBorders>
      </w:tblPr>
      <w:tblGrid>
        <w:gridCol w:w="9600"/>
      </w:tblGrid>
      <w:tr>
        <w:tc>
          <w:tcPr>
            <w:tcW w:type="pct" w:w="5000"/>
            <w:shd w:fill="F2F4FB" w:val="clear"/>
            <w:tcMar>
              <w:top w:type="dxa" w:w="50"/>
              <w:left w:type="dxa" w:w="110"/>
              <w:bottom w:type="dxa" w:w="50"/>
              <w:right w:type="dxa" w:w="110"/>
            </w:tcMar>
          </w:tcPr>
          <w:p>
            <w:pPr>
              <w:spacing w:before="30" w:after="30"/>
            </w:pPr>
            <w:r>
              <w:rPr>
                <w:b/>
                <w:bCs/>
                <w:color w:val="353A7C"/>
                <w:sz w:val="19"/>
                <w:szCs w:val="19"/>
              </w:rPr>
              <w:t xml:space="preserve">Tableau de financement</w:t>
            </w:r>
          </w:p>
        </w:tc>
      </w:tr>
    </w:tbl>
    <w:p/>
    <w:p>
      <w:pPr>
        <w:pageBreakBefore w:val="true"/>
        <w:spacing w:after="0"/>
      </w:pPr>
      <w:r>
        <w:rPr>
          <w:sz w:val="2"/>
        </w:rPr>
        <w:t xml:space="preserve"> </w:t>
      </w:r>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224"/>
        <w:gridCol w:w="3555"/>
        <w:gridCol w:w="1821"/>
      </w:tblGrid>
      <w:tr>
        <w:tc>
          <w:tcPr>
            <w:tcW w:type="pct" w:w="5000"/>
            <w:gridSpan w:val="3"/>
            <w:shd w:fill="353A7C" w:val="clear"/>
            <w:tcMar>
              <w:top w:type="dxa" w:w="60"/>
              <w:left w:type="dxa" w:w="120"/>
              <w:bottom w:type="dxa" w:w="60"/>
              <w:right w:type="dxa" w:w="120"/>
            </w:tcMar>
          </w:tcPr>
          <w:p>
            <w:pPr>
              <w:spacing w:before="40" w:after="40"/>
            </w:pPr>
            <w:r>
              <w:rPr>
                <w:b/>
                <w:bCs/>
                <w:color w:val="FFFFFF"/>
                <w:sz w:val="17"/>
                <w:szCs w:val="17"/>
              </w:rPr>
              <w:t xml:space="preserve">Tableau de financement</w:t>
            </w:r>
          </w:p>
        </w:tc>
      </w:tr>
      <w:tr>
        <w:tc>
          <w:tcPr>
            <w:tcW w:type="pct" w:w="2200"/>
            <w:shd w:fill="353A7C" w:val="clear"/>
            <w:tcMar>
              <w:top w:type="dxa" w:w="50"/>
              <w:left w:type="dxa" w:w="110"/>
              <w:bottom w:type="dxa" w:w="50"/>
              <w:right w:type="dxa" w:w="110"/>
            </w:tcMar>
          </w:tcPr>
          <w:p>
            <w:pPr>
              <w:spacing w:before="30" w:after="30"/>
            </w:pPr>
            <w:r>
              <w:rPr>
                <w:b/>
                <w:bCs/>
                <w:color w:val="FFFFFF"/>
                <w:sz w:val="15"/>
                <w:szCs w:val="15"/>
              </w:rPr>
              <w:t xml:space="preserve">Barada Wholesale (USD 000)</w:t>
            </w:r>
          </w:p>
        </w:tc>
        <w:tc>
          <w:tcPr>
            <w:tcW w:type="pct" w:w="1851"/>
            <w:shd w:fill="353A7C" w:val="clear"/>
            <w:tcMar>
              <w:top w:type="dxa" w:w="50"/>
              <w:left w:type="dxa" w:w="110"/>
              <w:bottom w:type="dxa" w:w="50"/>
              <w:right w:type="dxa" w:w="110"/>
            </w:tcMar>
          </w:tcPr>
          <w:p>
            <w:pPr>
              <w:spacing w:before="30" w:after="30"/>
            </w:pPr>
            <w:r>
              <w:rPr>
                <w:b/>
                <w:bCs/>
                <w:color w:val="FFFFFF"/>
                <w:sz w:val="15"/>
                <w:szCs w:val="15"/>
              </w:rPr>
              <w:t xml:space="preserve">Amount, or balance at Dec 31, 2025</w:t>
            </w:r>
          </w:p>
        </w:tc>
        <w:tc>
          <w:tcPr>
            <w:tcW w:type="pct" w:w="949"/>
            <w:shd w:fill="353A7C" w:val="clear"/>
            <w:tcMar>
              <w:top w:type="dxa" w:w="50"/>
              <w:left w:type="dxa" w:w="110"/>
              <w:bottom w:type="dxa" w:w="50"/>
              <w:right w:type="dxa" w:w="110"/>
            </w:tcMar>
          </w:tcPr>
          <w:p>
            <w:pPr>
              <w:spacing w:before="30" w:after="30"/>
            </w:pPr>
            <w:r>
              <w:rPr>
                <w:b/>
                <w:bCs/>
                <w:color w:val="FFFFFF"/>
                <w:sz w:val="15"/>
                <w:szCs w:val="15"/>
              </w:rPr>
              <w:t xml:space="preserve">Balance at Dec 31, 2026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(17)</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Net income</w:t>
            </w:r>
          </w:p>
        </w:tc>
        <w:tc>
          <w:tcPr>
            <w:tcW w:type="pct" w:w="1851"/>
            <w:shd w:fill="FBFAF6" w:val="clear"/>
            <w:tcMar>
              <w:top w:type="dxa" w:w="50"/>
              <w:left w:type="dxa" w:w="110"/>
              <w:bottom w:type="dxa" w:w="50"/>
              <w:right w:type="dxa" w:w="110"/>
            </w:tcMar>
          </w:tcPr>
          <w:p>
            <w:pPr>
              <w:spacing w:before="28" w:after="28"/>
            </w:pPr>
            <w:r>
              <w:rPr>
                <w:sz w:val="15"/>
                <w:szCs w:val="15"/>
              </w:rPr>
              <w:t xml:space="preserve">165</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Depreciation expense</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Gain on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20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Loss on sale of the catering-supply division</w:t>
            </w:r>
          </w:p>
        </w:tc>
        <w:tc>
          <w:tcPr>
            <w:tcW w:type="pct" w:w="1851"/>
            <w:tcMar>
              <w:top w:type="dxa" w:w="50"/>
              <w:left w:type="dxa" w:w="110"/>
              <w:bottom w:type="dxa" w:w="50"/>
              <w:right w:type="dxa" w:w="110"/>
            </w:tcMar>
          </w:tcPr>
          <w:p>
            <w:pPr>
              <w:spacing w:before="28" w:after="28"/>
            </w:pPr>
            <w:r>
              <w:rPr>
                <w:sz w:val="15"/>
                <w:szCs w:val="15"/>
              </w:rPr>
              <w:t xml:space="preserve">40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Balances</w:t>
            </w:r>
          </w:p>
        </w:tc>
        <w:tc>
          <w:tcPr>
            <w:tcW w:type="pct" w:w="1851"/>
            <w:shd w:fill="FBFAF6" w:val="clear"/>
            <w:tcMar>
              <w:top w:type="dxa" w:w="50"/>
              <w:left w:type="dxa" w:w="110"/>
              <w:bottom w:type="dxa" w:w="50"/>
              <w:right w:type="dxa" w:w="110"/>
            </w:tcMar>
          </w:tcPr>
          <w:p>
            <w:pPr>
              <w:spacing w:before="28" w:after="28"/>
            </w:pPr>
            <w:r>
              <w:rPr>
                <w:sz w:val="15"/>
                <w:szCs w:val="15"/>
              </w:rPr>
              <w:t xml:space="preserve"> </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(18)</w:t>
            </w:r>
          </w:p>
        </w:tc>
        <w:tc>
          <w:tcPr>
            <w:tcW w:type="pct" w:w="1851"/>
            <w:tcMar>
              <w:top w:type="dxa" w:w="50"/>
              <w:left w:type="dxa" w:w="110"/>
              <w:bottom w:type="dxa" w:w="50"/>
              <w:right w:type="dxa" w:w="110"/>
            </w:tcMar>
          </w:tcPr>
          <w:p>
            <w:pPr>
              <w:spacing w:before="28" w:after="28"/>
            </w:pPr>
            <w:r>
              <w:rPr>
                <w:sz w:val="15"/>
                <w:szCs w:val="15"/>
              </w:rPr>
              <w:t xml:space="preserve">280</w:t>
            </w:r>
          </w:p>
        </w:tc>
        <w:tc>
          <w:tcPr>
            <w:tcW w:type="pct" w:w="949"/>
            <w:tcMar>
              <w:top w:type="dxa" w:w="50"/>
              <w:left w:type="dxa" w:w="110"/>
              <w:bottom w:type="dxa" w:w="50"/>
              <w:right w:type="dxa" w:w="110"/>
            </w:tcMar>
          </w:tcPr>
          <w:p>
            <w:pPr>
              <w:spacing w:before="28" w:after="28"/>
            </w:pPr>
            <w:r>
              <w:rPr>
                <w:sz w:val="15"/>
                <w:szCs w:val="15"/>
              </w:rPr>
              <w:t xml:space="preserve">310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(19)</w:t>
            </w:r>
          </w:p>
        </w:tc>
        <w:tc>
          <w:tcPr>
            <w:tcW w:type="pct" w:w="1851"/>
            <w:shd w:fill="FBFAF6" w:val="clear"/>
            <w:tcMar>
              <w:top w:type="dxa" w:w="50"/>
              <w:left w:type="dxa" w:w="110"/>
              <w:bottom w:type="dxa" w:w="50"/>
              <w:right w:type="dxa" w:w="110"/>
            </w:tcMar>
          </w:tcPr>
          <w:p>
            <w:pPr>
              <w:spacing w:before="28" w:after="28"/>
            </w:pPr>
            <w:r>
              <w:rPr>
                <w:sz w:val="15"/>
                <w:szCs w:val="15"/>
              </w:rPr>
              <w:t xml:space="preserve">420</w:t>
            </w:r>
          </w:p>
        </w:tc>
        <w:tc>
          <w:tcPr>
            <w:tcW w:type="pct" w:w="949"/>
            <w:shd w:fill="FBFAF6" w:val="clear"/>
            <w:tcMar>
              <w:top w:type="dxa" w:w="50"/>
              <w:left w:type="dxa" w:w="110"/>
              <w:bottom w:type="dxa" w:w="50"/>
              <w:right w:type="dxa" w:w="110"/>
            </w:tcMar>
          </w:tcPr>
          <w:p>
            <w:pPr>
              <w:spacing w:before="28" w:after="28"/>
            </w:pPr>
            <w:r>
              <w:rPr>
                <w:sz w:val="15"/>
                <w:szCs w:val="15"/>
              </w:rPr>
              <w:t xml:space="preserve">390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(20)</w:t>
            </w:r>
          </w:p>
        </w:tc>
        <w:tc>
          <w:tcPr>
            <w:tcW w:type="pct" w:w="1851"/>
            <w:tcMar>
              <w:top w:type="dxa" w:w="50"/>
              <w:left w:type="dxa" w:w="110"/>
              <w:bottom w:type="dxa" w:w="50"/>
              <w:right w:type="dxa" w:w="110"/>
            </w:tcMar>
          </w:tcPr>
          <w:p>
            <w:pPr>
              <w:spacing w:before="28" w:after="28"/>
            </w:pPr>
            <w:r>
              <w:rPr>
                <w:sz w:val="15"/>
                <w:szCs w:val="15"/>
              </w:rPr>
              <w:t xml:space="preserve">24</w:t>
            </w:r>
          </w:p>
        </w:tc>
        <w:tc>
          <w:tcPr>
            <w:tcW w:type="pct" w:w="949"/>
            <w:tcMar>
              <w:top w:type="dxa" w:w="50"/>
              <w:left w:type="dxa" w:w="110"/>
              <w:bottom w:type="dxa" w:w="50"/>
              <w:right w:type="dxa" w:w="110"/>
            </w:tcMar>
          </w:tcPr>
          <w:p>
            <w:pPr>
              <w:spacing w:before="28" w:after="28"/>
            </w:pPr>
            <w:r>
              <w:rPr>
                <w:sz w:val="15"/>
                <w:szCs w:val="15"/>
              </w:rPr>
              <w:t xml:space="preserve">26</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(21)</w:t>
            </w:r>
          </w:p>
        </w:tc>
        <w:tc>
          <w:tcPr>
            <w:tcW w:type="pct" w:w="1851"/>
            <w:shd w:fill="FBFAF6" w:val="clear"/>
            <w:tcMar>
              <w:top w:type="dxa" w:w="50"/>
              <w:left w:type="dxa" w:w="110"/>
              <w:bottom w:type="dxa" w:w="50"/>
              <w:right w:type="dxa" w:w="110"/>
            </w:tcMar>
          </w:tcPr>
          <w:p>
            <w:pPr>
              <w:spacing w:before="28" w:after="28"/>
            </w:pPr>
            <w:r>
              <w:rPr>
                <w:sz w:val="15"/>
                <w:szCs w:val="15"/>
              </w:rPr>
              <w:t xml:space="preserve">380</w:t>
            </w:r>
          </w:p>
        </w:tc>
        <w:tc>
          <w:tcPr>
            <w:tcW w:type="pct" w:w="949"/>
            <w:shd w:fill="FBFAF6" w:val="clear"/>
            <w:tcMar>
              <w:top w:type="dxa" w:w="50"/>
              <w:left w:type="dxa" w:w="110"/>
              <w:bottom w:type="dxa" w:w="50"/>
              <w:right w:type="dxa" w:w="110"/>
            </w:tcMar>
          </w:tcPr>
          <w:p>
            <w:pPr>
              <w:spacing w:before="28" w:after="28"/>
            </w:pPr>
            <w:r>
              <w:rPr>
                <w:sz w:val="15"/>
                <w:szCs w:val="15"/>
              </w:rPr>
              <w:t xml:space="preserve">410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(22)</w:t>
            </w:r>
          </w:p>
        </w:tc>
        <w:tc>
          <w:tcPr>
            <w:tcW w:type="pct" w:w="1851"/>
            <w:tcMar>
              <w:top w:type="dxa" w:w="50"/>
              <w:left w:type="dxa" w:w="110"/>
              <w:bottom w:type="dxa" w:w="50"/>
              <w:right w:type="dxa" w:w="110"/>
            </w:tcMar>
          </w:tcPr>
          <w:p>
            <w:pPr>
              <w:spacing w:before="28" w:after="28"/>
            </w:pPr>
            <w:r>
              <w:rPr>
                <w:sz w:val="15"/>
                <w:szCs w:val="15"/>
              </w:rPr>
              <w:t xml:space="preserve">0</w:t>
            </w:r>
          </w:p>
        </w:tc>
        <w:tc>
          <w:tcPr>
            <w:tcW w:type="pct" w:w="949"/>
            <w:tcMar>
              <w:top w:type="dxa" w:w="50"/>
              <w:left w:type="dxa" w:w="110"/>
              <w:bottom w:type="dxa" w:w="50"/>
              <w:right w:type="dxa" w:w="110"/>
            </w:tcMar>
          </w:tcPr>
          <w:p>
            <w:pPr>
              <w:spacing w:before="28" w:after="28"/>
            </w:pPr>
            <w:r>
              <w:rPr>
                <w:sz w:val="15"/>
                <w:szCs w:val="15"/>
              </w:rPr>
              <w:t xml:space="preserve">30</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(23)</w:t>
            </w:r>
          </w:p>
        </w:tc>
        <w:tc>
          <w:tcPr>
            <w:tcW w:type="pct" w:w="1851"/>
            <w:shd w:fill="FBFAF6" w:val="clear"/>
            <w:tcMar>
              <w:top w:type="dxa" w:w="50"/>
              <w:left w:type="dxa" w:w="110"/>
              <w:bottom w:type="dxa" w:w="50"/>
              <w:right w:type="dxa" w:w="110"/>
            </w:tcMar>
          </w:tcPr>
          <w:p>
            <w:pPr>
              <w:spacing w:before="28" w:after="28"/>
            </w:pPr>
            <w:r>
              <w:rPr>
                <w:sz w:val="15"/>
                <w:szCs w:val="15"/>
              </w:rPr>
              <w:t xml:space="preserve">1,050</w:t>
            </w:r>
          </w:p>
        </w:tc>
        <w:tc>
          <w:tcPr>
            <w:tcW w:type="pct" w:w="949"/>
            <w:shd w:fill="FBFAF6" w:val="clear"/>
            <w:tcMar>
              <w:top w:type="dxa" w:w="50"/>
              <w:left w:type="dxa" w:w="110"/>
              <w:bottom w:type="dxa" w:w="50"/>
              <w:right w:type="dxa" w:w="110"/>
            </w:tcMar>
          </w:tcPr>
          <w:p>
            <w:pPr>
              <w:spacing w:before="28" w:after="28"/>
            </w:pPr>
            <w:r>
              <w:rPr>
                <w:sz w:val="15"/>
                <w:szCs w:val="15"/>
              </w:rPr>
              <w:t xml:space="preserve">?</w:t>
            </w:r>
          </w:p>
        </w:tc>
      </w:tr>
      <w:tr>
        <w:tc>
          <w:tcPr>
            <w:tcW w:type="pct" w:w="2200"/>
            <w:tcMar>
              <w:top w:type="dxa" w:w="50"/>
              <w:left w:type="dxa" w:w="110"/>
              <w:bottom w:type="dxa" w:w="50"/>
              <w:right w:type="dxa" w:w="110"/>
            </w:tcMar>
          </w:tcPr>
          <w:p>
            <w:pPr>
              <w:spacing w:before="28" w:after="28"/>
            </w:pPr>
            <w:r>
              <w:rPr>
                <w:sz w:val="15"/>
                <w:szCs w:val="15"/>
              </w:rPr>
              <w:t xml:space="preserve">Other 2026 cash information</w:t>
            </w:r>
          </w:p>
        </w:tc>
        <w:tc>
          <w:tcPr>
            <w:tcW w:type="pct" w:w="1851"/>
            <w:tcMar>
              <w:top w:type="dxa" w:w="50"/>
              <w:left w:type="dxa" w:w="110"/>
              <w:bottom w:type="dxa" w:w="50"/>
              <w:right w:type="dxa" w:w="110"/>
            </w:tcMar>
          </w:tcPr>
          <w:p>
            <w:pPr>
              <w:spacing w:before="28" w:after="28"/>
            </w:pPr>
            <w:r>
              <w:rPr>
                <w:sz w:val="15"/>
                <w:szCs w:val="15"/>
              </w:rPr>
              <w:t xml:space="preserve"> </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Proceeds from sale of equipment</w:t>
            </w:r>
          </w:p>
        </w:tc>
        <w:tc>
          <w:tcPr>
            <w:tcW w:type="pct" w:w="1851"/>
            <w:shd w:fill="FBFAF6" w:val="clear"/>
            <w:tcMar>
              <w:top w:type="dxa" w:w="50"/>
              <w:left w:type="dxa" w:w="110"/>
              <w:bottom w:type="dxa" w:w="50"/>
              <w:right w:type="dxa" w:w="110"/>
            </w:tcMar>
          </w:tcPr>
          <w:p>
            <w:pPr>
              <w:spacing w:before="28" w:after="28"/>
            </w:pPr>
            <w:r>
              <w:rPr>
                <w:sz w:val="15"/>
                <w:szCs w:val="15"/>
              </w:rPr>
              <w:t xml:space="preserve">70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(24)</w:t>
            </w:r>
          </w:p>
        </w:tc>
        <w:tc>
          <w:tcPr>
            <w:tcW w:type="pct" w:w="1851"/>
            <w:tcMar>
              <w:top w:type="dxa" w:w="50"/>
              <w:left w:type="dxa" w:w="110"/>
              <w:bottom w:type="dxa" w:w="50"/>
              <w:right w:type="dxa" w:w="110"/>
            </w:tcMar>
          </w:tcPr>
          <w:p>
            <w:pPr>
              <w:spacing w:before="28" w:after="28"/>
            </w:pPr>
            <w:r>
              <w:rPr>
                <w:sz w:val="15"/>
                <w:szCs w:val="15"/>
              </w:rPr>
              <w:t xml:space="preserve">150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FFFFF" w:val="clear"/>
            <w:tcMar>
              <w:top w:type="dxa" w:w="50"/>
              <w:left w:type="dxa" w:w="110"/>
              <w:bottom w:type="dxa" w:w="50"/>
              <w:right w:type="dxa" w:w="110"/>
            </w:tcMar>
          </w:tcPr>
          <w:p>
            <w:pPr>
              <w:spacing w:before="46" w:after="46"/>
            </w:pPr>
            <w:r>
              <w:rPr>
                <w:b/>
                <w:bCs/>
                <w:color w:val="8186EF"/>
                <w:sz w:val="14"/>
                <w:szCs w:val="14"/>
              </w:rPr>
              <w:t xml:space="preserve">(25)</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Note installment repaid (Chapter 2, M1)</w:t>
            </w:r>
          </w:p>
        </w:tc>
        <w:tc>
          <w:tcPr>
            <w:tcW w:type="pct" w:w="1851"/>
            <w:tcMar>
              <w:top w:type="dxa" w:w="50"/>
              <w:left w:type="dxa" w:w="110"/>
              <w:bottom w:type="dxa" w:w="50"/>
              <w:right w:type="dxa" w:w="110"/>
            </w:tcMar>
          </w:tcPr>
          <w:p>
            <w:pPr>
              <w:spacing w:before="28" w:after="28"/>
            </w:pPr>
            <w:r>
              <w:rPr>
                <w:sz w:val="15"/>
                <w:szCs w:val="15"/>
              </w:rPr>
              <w:t xml:space="preserve">300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Dividend paid (declared in 2025)</w:t>
            </w:r>
          </w:p>
        </w:tc>
        <w:tc>
          <w:tcPr>
            <w:tcW w:type="pct" w:w="1851"/>
            <w:shd w:fill="FBFAF6" w:val="clear"/>
            <w:tcMar>
              <w:top w:type="dxa" w:w="50"/>
              <w:left w:type="dxa" w:w="110"/>
              <w:bottom w:type="dxa" w:w="50"/>
              <w:right w:type="dxa" w:w="110"/>
            </w:tcMar>
          </w:tcPr>
          <w:p>
            <w:pPr>
              <w:spacing w:before="28" w:after="28"/>
            </w:pPr>
            <w:r>
              <w:rPr>
                <w:sz w:val="15"/>
                <w:szCs w:val="15"/>
              </w:rPr>
              <w:t xml:space="preserve">50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Treasury stock bought (Chapter 4, E1)</w:t>
            </w:r>
          </w:p>
        </w:tc>
        <w:tc>
          <w:tcPr>
            <w:tcW w:type="pct" w:w="1851"/>
            <w:tcMar>
              <w:top w:type="dxa" w:w="50"/>
              <w:left w:type="dxa" w:w="110"/>
              <w:bottom w:type="dxa" w:w="50"/>
              <w:right w:type="dxa" w:w="110"/>
            </w:tcMar>
          </w:tcPr>
          <w:p>
            <w:pPr>
              <w:spacing w:before="28" w:after="28"/>
            </w:pPr>
            <w:r>
              <w:rPr>
                <w:sz w:val="15"/>
                <w:szCs w:val="15"/>
              </w:rPr>
              <w:t xml:space="preserve">480</w:t>
            </w:r>
          </w:p>
        </w:tc>
        <w:tc>
          <w:tcPr>
            <w:tcW w:type="pct" w:w="949"/>
            <w:tcMar>
              <w:top w:type="dxa" w:w="50"/>
              <w:left w:type="dxa" w:w="110"/>
              <w:bottom w:type="dxa" w:w="50"/>
              <w:right w:type="dxa" w:w="110"/>
            </w:tcMar>
          </w:tcPr>
          <w:p>
            <w:pPr>
              <w:spacing w:before="28" w:after="28"/>
            </w:pPr>
            <w:r>
              <w:rPr>
                <w:sz w:val="15"/>
                <w:szCs w:val="15"/>
              </w:rPr>
              <w:t xml:space="preserve"> </w:t>
            </w:r>
          </w:p>
        </w:tc>
      </w:tr>
      <w:tr>
        <w:tc>
          <w:tcPr>
            <w:tcW w:type="pct" w:w="2200"/>
            <w:shd w:fill="FBFAF6" w:val="clear"/>
            <w:tcMar>
              <w:top w:type="dxa" w:w="50"/>
              <w:left w:type="dxa" w:w="110"/>
              <w:bottom w:type="dxa" w:w="50"/>
              <w:right w:type="dxa" w:w="110"/>
            </w:tcMar>
          </w:tcPr>
          <w:p>
            <w:pPr>
              <w:spacing w:before="28" w:after="28"/>
            </w:pPr>
            <w:r>
              <w:rPr>
                <w:sz w:val="15"/>
                <w:szCs w:val="15"/>
              </w:rPr>
              <w:t xml:space="preserve">Treasury stock reissued (E2 and E3)</w:t>
            </w:r>
          </w:p>
        </w:tc>
        <w:tc>
          <w:tcPr>
            <w:tcW w:type="pct" w:w="1851"/>
            <w:shd w:fill="FBFAF6" w:val="clear"/>
            <w:tcMar>
              <w:top w:type="dxa" w:w="50"/>
              <w:left w:type="dxa" w:w="110"/>
              <w:bottom w:type="dxa" w:w="50"/>
              <w:right w:type="dxa" w:w="110"/>
            </w:tcMar>
          </w:tcPr>
          <w:p>
            <w:pPr>
              <w:spacing w:before="28" w:after="28"/>
            </w:pPr>
            <w:r>
              <w:rPr>
                <w:sz w:val="15"/>
                <w:szCs w:val="15"/>
              </w:rPr>
              <w:t xml:space="preserve">200</w:t>
            </w:r>
          </w:p>
        </w:tc>
        <w:tc>
          <w:tcPr>
            <w:tcW w:type="pct" w:w="949"/>
            <w:shd w:fill="FBFAF6" w:val="clear"/>
            <w:tcMar>
              <w:top w:type="dxa" w:w="50"/>
              <w:left w:type="dxa" w:w="110"/>
              <w:bottom w:type="dxa" w:w="50"/>
              <w:right w:type="dxa" w:w="110"/>
            </w:tcMar>
          </w:tcPr>
          <w:p>
            <w:pPr>
              <w:spacing w:before="28" w:after="28"/>
            </w:pPr>
            <w:r>
              <w:rPr>
                <w:sz w:val="15"/>
                <w:szCs w:val="15"/>
              </w:rPr>
              <w:t xml:space="preserve"> </w:t>
            </w:r>
          </w:p>
        </w:tc>
      </w:tr>
      <w:tr>
        <w:tc>
          <w:tcPr>
            <w:tcW w:type="pct" w:w="2200"/>
            <w:tcMar>
              <w:top w:type="dxa" w:w="50"/>
              <w:left w:type="dxa" w:w="110"/>
              <w:bottom w:type="dxa" w:w="50"/>
              <w:right w:type="dxa" w:w="110"/>
            </w:tcMar>
          </w:tcPr>
          <w:p>
            <w:pPr>
              <w:spacing w:before="28" w:after="28"/>
            </w:pPr>
            <w:r>
              <w:rPr>
                <w:sz w:val="15"/>
                <w:szCs w:val="15"/>
              </w:rPr>
              <w:t xml:space="preserve">Cash dividend declared December 15, 2026, payable January 2027</w:t>
            </w:r>
          </w:p>
        </w:tc>
        <w:tc>
          <w:tcPr>
            <w:tcW w:type="pct" w:w="1851"/>
            <w:tcMar>
              <w:top w:type="dxa" w:w="50"/>
              <w:left w:type="dxa" w:w="110"/>
              <w:bottom w:type="dxa" w:w="50"/>
              <w:right w:type="dxa" w:w="110"/>
            </w:tcMar>
          </w:tcPr>
          <w:p>
            <w:pPr>
              <w:spacing w:before="28" w:after="28"/>
            </w:pPr>
            <w:r>
              <w:rPr>
                <w:sz w:val="15"/>
                <w:szCs w:val="15"/>
              </w:rPr>
              <w:t xml:space="preserve">121</w:t>
            </w:r>
          </w:p>
        </w:tc>
        <w:tc>
          <w:tcPr>
            <w:tcW w:type="pct" w:w="949"/>
            <w:tcMar>
              <w:top w:type="dxa" w:w="50"/>
              <w:left w:type="dxa" w:w="110"/>
              <w:bottom w:type="dxa" w:w="50"/>
              <w:right w:type="dxa" w:w="110"/>
            </w:tcMar>
          </w:tcPr>
          <w:p>
            <w:pPr>
              <w:spacing w:before="28" w:after="28"/>
            </w:pPr>
            <w:r>
              <w:rPr>
                <w:sz w:val="15"/>
                <w:szCs w:val="15"/>
              </w:rPr>
              <w:t xml:space="preserve"> </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Income taxes payable   ·   Investing   ·   Prepaid rent   ·   Income statement items, 2026   ·   Inventory   ·   Accounts payable   ·   Accounts receivable, net   ·   Proceeds from sale of the division   ·   Purchases of equipment   ·   Cash</w:t>
            </w:r>
          </w:p>
        </w:tc>
      </w:tr>
    </w:tbl>
    <w:p/>
    <w:tbl>
      <w:tblPr>
        <w:tblW w:type="pct" w:w="100%"/>
        <w:tblLayout w:type="fixed"/>
        <w:tblBorders>
          <w:top w:val="single" w:color="353A7C" w:sz="6"/>
          <w:left w:val="single" w:color="353A7C" w:sz="6"/>
          <w:bottom w:val="single" w:color="353A7C" w:sz="6"/>
          <w:right w:val="single" w:color="353A7C" w:sz="6"/>
          <w:insideH w:val="single" w:color="353A7C" w:sz="6"/>
          <w:insideV w:val="single" w:color="353A7C" w:sz="6"/>
        </w:tblBorders>
      </w:tblPr>
      <w:tblGrid>
        <w:gridCol w:w="4608"/>
        <w:gridCol w:w="4992"/>
      </w:tblGrid>
      <w:tr>
        <w:tc>
          <w:tcPr>
            <w:tcW w:type="pct" w:w="5000"/>
            <w:gridSpan w:val="2"/>
            <w:shd w:fill="353A7C" w:val="clear"/>
            <w:tcMar>
              <w:top w:type="dxa" w:w="60"/>
              <w:left w:type="dxa" w:w="120"/>
              <w:bottom w:type="dxa" w:w="60"/>
              <w:right w:type="dxa" w:w="120"/>
            </w:tcMar>
          </w:tcPr>
          <w:p>
            <w:pPr>
              <w:spacing w:before="40" w:after="40"/>
            </w:pPr>
            <w:r>
              <w:rPr>
                <w:b/>
                <w:bCs/>
                <w:color w:val="FFFFFF"/>
                <w:sz w:val="17"/>
                <w:szCs w:val="17"/>
              </w:rPr>
              <w:t xml:space="preserve">Item — Answer</w:t>
            </w:r>
          </w:p>
        </w:tc>
      </w:tr>
      <w:tr>
        <w:tc>
          <w:tcPr>
            <w:tcW w:type="pct" w:w="2400"/>
            <w:shd w:fill="353A7C" w:val="clear"/>
            <w:tcMar>
              <w:top w:type="dxa" w:w="50"/>
              <w:left w:type="dxa" w:w="110"/>
              <w:bottom w:type="dxa" w:w="50"/>
              <w:right w:type="dxa" w:w="110"/>
            </w:tcMar>
          </w:tcPr>
          <w:p>
            <w:pPr>
              <w:spacing w:before="30" w:after="30"/>
            </w:pPr>
            <w:r>
              <w:rPr>
                <w:b/>
                <w:bCs/>
                <w:color w:val="FFFFFF"/>
                <w:sz w:val="15"/>
                <w:szCs w:val="15"/>
              </w:rPr>
              <w:t xml:space="preserve">Item</w:t>
            </w:r>
          </w:p>
        </w:tc>
        <w:tc>
          <w:tcPr>
            <w:tcW w:type="pct" w:w="2600"/>
            <w:shd w:fill="353A7C" w:val="clear"/>
            <w:tcMar>
              <w:top w:type="dxa" w:w="50"/>
              <w:left w:type="dxa" w:w="110"/>
              <w:bottom w:type="dxa" w:w="50"/>
              <w:right w:type="dxa" w:w="110"/>
            </w:tcMar>
          </w:tcPr>
          <w:p>
            <w:pPr>
              <w:spacing w:before="30" w:after="30"/>
            </w:pPr>
            <w:r>
              <w:rPr>
                <w:b/>
                <w:bCs/>
                <w:color w:val="FFFFFF"/>
                <w:sz w:val="15"/>
                <w:szCs w:val="15"/>
              </w:rPr>
              <w:t xml:space="preserve">Answer</w:t>
            </w:r>
          </w:p>
        </w:tc>
      </w:tr>
      <w:tr>
        <w:tc>
          <w:tcPr>
            <w:tcW w:type="pct" w:w="2400"/>
            <w:tcMar>
              <w:top w:type="dxa" w:w="50"/>
              <w:left w:type="dxa" w:w="110"/>
              <w:bottom w:type="dxa" w:w="50"/>
              <w:right w:type="dxa" w:w="110"/>
            </w:tcMar>
          </w:tcPr>
          <w:p>
            <w:pPr>
              <w:spacing w:before="28" w:after="28"/>
            </w:pPr>
            <w:r>
              <w:rPr>
                <w:sz w:val="15"/>
                <w:szCs w:val="15"/>
              </w:rPr>
              <w:t xml:space="preserve">Interest paid on a bank loan</w:t>
            </w:r>
          </w:p>
        </w:tc>
        <w:tc>
          <w:tcPr>
            <w:tcW w:type="pct" w:w="2600"/>
            <w:shd w:fill="FFFFFF" w:val="clear"/>
            <w:tcMar>
              <w:top w:type="dxa" w:w="50"/>
              <w:left w:type="dxa" w:w="110"/>
              <w:bottom w:type="dxa" w:w="50"/>
              <w:right w:type="dxa" w:w="110"/>
            </w:tcMar>
          </w:tcPr>
          <w:p>
            <w:pPr>
              <w:spacing w:before="46" w:after="46"/>
            </w:pPr>
            <w:r>
              <w:rPr>
                <w:b/>
                <w:bCs/>
                <w:color w:val="8186EF"/>
                <w:sz w:val="14"/>
                <w:szCs w:val="14"/>
              </w:rPr>
              <w:t xml:space="preserve">(26)</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Selling Jordan Glass shares</w:t>
            </w:r>
          </w:p>
        </w:tc>
        <w:tc>
          <w:tcPr>
            <w:tcW w:type="pct" w:w="2600"/>
            <w:shd w:fill="FBFAF6" w:val="clear"/>
            <w:tcMar>
              <w:top w:type="dxa" w:w="50"/>
              <w:left w:type="dxa" w:w="110"/>
              <w:bottom w:type="dxa" w:w="50"/>
              <w:right w:type="dxa" w:w="110"/>
            </w:tcMar>
          </w:tcPr>
          <w:p>
            <w:pPr>
              <w:spacing w:before="28" w:after="28"/>
            </w:pPr>
            <w:r>
              <w:rPr>
                <w:sz w:val="15"/>
                <w:szCs w:val="15"/>
              </w:rPr>
              <w:t xml:space="preserve">Investing: another company's </w:t>
            </w:r>
            <w:r>
              <w:rPr>
                <w:b/>
                <w:bCs/>
                <w:color w:val="8186EF"/>
                <w:sz w:val="14"/>
                <w:szCs w:val="14"/>
              </w:rPr>
              <w:t xml:space="preserve"> (27) </w:t>
            </w:r>
            <w:r>
              <w:rPr>
                <w:u w:val="single"/>
                <w:sz w:val="15"/>
                <w:szCs w:val="15"/>
              </w:rPr>
              <w:t xml:space="preserve">              </w:t>
            </w:r>
            <w:r>
              <w:rPr>
                <w:sz w:val="15"/>
                <w:szCs w:val="15"/>
              </w:rPr>
              <w:t xml:space="preserve"> </w:t>
            </w:r>
            <w:r>
              <w:rPr>
                <w:sz w:val="15"/>
                <w:szCs w:val="15"/>
              </w:rPr>
              <w:t xml:space="preserve">.</w:t>
            </w:r>
          </w:p>
        </w:tc>
      </w:tr>
      <w:tr>
        <w:tc>
          <w:tcPr>
            <w:tcW w:type="pct" w:w="2400"/>
            <w:tcMar>
              <w:top w:type="dxa" w:w="50"/>
              <w:left w:type="dxa" w:w="110"/>
              <w:bottom w:type="dxa" w:w="50"/>
              <w:right w:type="dxa" w:w="110"/>
            </w:tcMar>
          </w:tcPr>
          <w:p>
            <w:pPr>
              <w:spacing w:before="28" w:after="28"/>
            </w:pPr>
            <w:r>
              <w:rPr>
                <w:sz w:val="15"/>
                <w:szCs w:val="15"/>
              </w:rPr>
              <w:t xml:space="preserve">Land for a long-term note</w:t>
            </w:r>
          </w:p>
        </w:tc>
        <w:tc>
          <w:tcPr>
            <w:tcW w:type="pct" w:w="2600"/>
            <w:tcMar>
              <w:top w:type="dxa" w:w="50"/>
              <w:left w:type="dxa" w:w="110"/>
              <w:bottom w:type="dxa" w:w="50"/>
              <w:right w:type="dxa" w:w="110"/>
            </w:tcMar>
          </w:tcPr>
          <w:p>
            <w:pPr>
              <w:spacing w:before="28" w:after="28"/>
            </w:pPr>
            <w:r>
              <w:rPr>
                <w:sz w:val="15"/>
                <w:szCs w:val="15"/>
              </w:rPr>
              <w:t xml:space="preserve">Noncash investing and financing activity: disclosed, not in the body.</w:t>
            </w:r>
          </w:p>
        </w:tc>
      </w:tr>
      <w:tr>
        <w:tc>
          <w:tcPr>
            <w:tcW w:type="pct" w:w="2400"/>
            <w:shd w:fill="FBFAF6" w:val="clear"/>
            <w:tcMar>
              <w:top w:type="dxa" w:w="50"/>
              <w:left w:type="dxa" w:w="110"/>
              <w:bottom w:type="dxa" w:w="50"/>
              <w:right w:type="dxa" w:w="110"/>
            </w:tcMar>
          </w:tcPr>
          <w:p>
            <w:pPr>
              <w:spacing w:before="28" w:after="28"/>
            </w:pPr>
            <w:r>
              <w:rPr>
                <w:sz w:val="15"/>
                <w:szCs w:val="15"/>
              </w:rPr>
              <w:t xml:space="preserve">Buying back own shares</w:t>
            </w:r>
          </w:p>
        </w:tc>
        <w:tc>
          <w:tcPr>
            <w:tcW w:type="pct" w:w="2600"/>
            <w:shd w:fill="FBFAF6" w:val="clear"/>
            <w:tcMar>
              <w:top w:type="dxa" w:w="50"/>
              <w:left w:type="dxa" w:w="110"/>
              <w:bottom w:type="dxa" w:w="50"/>
              <w:right w:type="dxa" w:w="110"/>
            </w:tcMar>
          </w:tcPr>
          <w:p>
            <w:pPr>
              <w:spacing w:before="28" w:after="28"/>
            </w:pPr>
            <w:r>
              <w:rPr>
                <w:sz w:val="15"/>
                <w:szCs w:val="15"/>
              </w:rPr>
              <w:t xml:space="preserve">Financing: a transaction with owners.</w:t>
            </w:r>
          </w:p>
        </w:tc>
      </w:tr>
    </w:tbl>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Noncash investing and financing activity   ·   securities   ·   Operating (U.S. GAAP gives no choice).</w:t>
            </w:r>
          </w:p>
        </w:tc>
      </w:tr>
    </w:tbl>
    <w:p/>
    <w:p>
      <w:pPr>
        <w:pageBreakBefore w:val="true"/>
        <w:spacing w:after="0"/>
      </w:pPr>
      <w:r>
        <w:rPr>
          <w:sz w:val="2"/>
        </w:rPr>
        <w:t xml:space="preserve"> </w:t>
      </w:r>
    </w:p>
    <w:p>
      <w:pPr>
        <w:spacing w:before="44" w:after="10"/>
      </w:pPr>
      <w:r>
        <w:rPr>
          <w:b/>
          <w:bCs/>
          <w:color w:val="353A7C"/>
          <w:sz w:val="18"/>
          <w:szCs w:val="18"/>
        </w:rPr>
        <w:t xml:space="preserve">Cash flow — Category</w:t>
      </w:r>
    </w:p>
    <w:p>
      <w:pPr>
        <w:spacing w:before="0" w:after="12"/>
      </w:pPr>
      <w:r>
        <w:rPr>
          <w:color w:val="6B7280"/>
          <w:sz w:val="15"/>
          <w:szCs w:val="15"/>
        </w:rPr>
        <w:t xml:space="preserve">Every item belongs to exactly one group.</w:t>
      </w:r>
    </w:p>
    <w:p>
      <w:pPr>
        <w:spacing w:after="40" w:before="90"/>
        <w:jc w:val="center"/>
      </w:pPr>
      <w:r>
        <w:drawing>
          <wp:inline distT="0" distB="0" distL="0" distR="0">
            <wp:extent cx="5734050" cy="16146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734050" cy="1614600"/>
                    </a:xfrm>
                    <a:prstGeom prst="rect">
                      <a:avLst/>
                    </a:prstGeom>
                  </pic:spPr>
                </pic:pic>
              </a:graphicData>
            </a:graphic>
          </wp:inline>
        </w:drawing>
      </w:r>
    </w:p>
    <w:tbl>
      <w:tblPr>
        <w:tblW w:type="pct" w:w="100%"/>
        <w:tblLayout w:type="fixed"/>
        <w:tblBorders>
          <w:top w:val="single" w:color="FBFAF6" w:sz="4"/>
          <w:left w:val="single" w:color="FBFAF6" w:sz="4"/>
          <w:bottom w:val="single" w:color="FBFAF6" w:sz="4"/>
          <w:right w:val="single" w:color="FBFAF6" w:sz="4"/>
          <w:insideH w:val="single" w:color="FBFAF6" w:sz="4"/>
          <w:insideV w:val="single" w:color="FBFAF6" w:sz="4"/>
        </w:tblBorders>
      </w:tblPr>
      <w:tblGrid>
        <w:gridCol w:w="9600"/>
      </w:tblGrid>
      <w:tr>
        <w:tc>
          <w:tcPr>
            <w:tcW w:type="pct" w:w="5000"/>
            <w:shd w:fill="FBFAF6" w:val="clear"/>
            <w:tcMar>
              <w:top w:type="dxa" w:w="40"/>
              <w:left w:type="dxa" w:w="100"/>
              <w:bottom w:type="dxa" w:w="40"/>
              <w:right w:type="dxa" w:w="100"/>
            </w:tcMar>
          </w:tcPr>
          <w:p>
            <w:pPr>
              <w:spacing w:before="18" w:after="6"/>
            </w:pPr>
            <w:r>
              <w:rPr>
                <w:b/>
                <w:bCs/>
                <w:color w:val="6B7280"/>
                <w:sz w:val="14"/>
                <w:szCs w:val="14"/>
              </w:rPr>
              <w:t xml:space="preserve">word list</w:t>
            </w:r>
          </w:p>
          <w:p>
            <w:pPr>
              <w:spacing w:before="0" w:after="18"/>
            </w:pPr>
            <w:r>
              <w:rPr>
                <w:b/>
                <w:bCs/>
                <w:color w:val="353A7C"/>
                <w:sz w:val="16"/>
                <w:szCs w:val="16"/>
              </w:rPr>
              <w:t xml:space="preserve">Dividend paid   ·   operating activities   ·   Interest paid</w:t>
            </w:r>
          </w:p>
        </w:tc>
      </w:tr>
    </w:tbl>
    <w:p/>
    <w:p>
      <w:pPr>
        <w:sectPr>
          <w:headerReference w:type="default" r:id="rIdHdr9"/>
          <w:pgSz w:w="11906" w:h="16838" w:orient="portrait"/>
          <w:pgMar w:top="1180" w:right="1000" w:bottom="900" w:left="1000" w:header="708" w:footer="708" w:gutter="0"/>
          <w:docGrid w:linePitch="360"/>
          <w:pgNumType w:start="1"/>
        </w:sectPr>
      </w:pPr>
    </w:p>
    <w:tbl>
      <w:tblPr>
        <w:tblW w:type="pct" w:w="100%"/>
        <w:tblLayout w:type="fixed"/>
        <w:tblBorders>
          <w:top w:val="single" w:color="353A7C" w:sz="8"/>
          <w:left w:val="single" w:color="353A7C" w:sz="8"/>
          <w:bottom w:val="single" w:color="353A7C" w:sz="8"/>
          <w:right w:val="single" w:color="353A7C" w:sz="8"/>
          <w:insideH w:val="single" w:color="353A7C" w:sz="8"/>
          <w:insideV w:val="single" w:color="353A7C" w:sz="8"/>
        </w:tblBorders>
      </w:tblPr>
      <w:tblGrid>
        <w:gridCol w:w="9600"/>
      </w:tblGrid>
      <w:tr>
        <w:tc>
          <w:tcPr>
            <w:tcW w:type="pct" w:w="5000"/>
            <w:shd w:fill="353A7C" w:val="clear"/>
            <w:tcMar>
              <w:top w:type="dxa" w:w="80"/>
              <w:left w:type="dxa" w:w="140"/>
              <w:bottom w:type="dxa" w:w="80"/>
              <w:right w:type="dxa" w:w="140"/>
            </w:tcMar>
          </w:tcPr>
          <w:p>
            <w:pPr>
              <w:spacing w:before="60" w:after="60"/>
            </w:pPr>
            <w:r>
              <w:rPr>
                <w:b/>
                <w:bCs/>
                <w:color w:val="FFFFFF"/>
                <w:sz w:val="21"/>
                <w:szCs w:val="21"/>
              </w:rPr>
              <w:t xml:space="preserve">Answer key · 5.5  Limitations and links between the four statements</w:t>
            </w:r>
          </w:p>
        </w:tc>
      </w:tr>
    </w:tbl>
    <w:p/>
    <w:tbl>
      <w:tblPr>
        <w:tblW w:type="pct" w:w="100%"/>
        <w:tblLayout w:type="fixed"/>
      </w:tblPr>
      <w:tblGrid>
        <w:gridCol w:w="4800"/>
        <w:gridCol w:w="4800"/>
      </w:tblGrid>
      <w:tr>
        <w:tc>
          <w:tcPr>
            <w:tcW w:type="pct" w:w="2500"/>
            <w:tcMar>
              <w:top w:type="dxa" w:w="20"/>
              <w:left w:type="dxa" w:w="80"/>
              <w:bottom w:type="dxa" w:w="20"/>
              <w:right w:type="dxa" w:w="80"/>
            </w:tcMar>
          </w:tcPr>
          <w:p>
            <w:pPr>
              <w:spacing w:before="12" w:after="12"/>
            </w:pPr>
            <w:r>
              <w:rPr>
                <w:b/>
                <w:bCs/>
                <w:color w:val="8186EF"/>
                <w:sz w:val="16"/>
                <w:szCs w:val="16"/>
              </w:rPr>
              <w:t xml:space="preserve">1  </w:t>
            </w:r>
            <w:r>
              <w:rPr>
                <w:sz w:val="16"/>
                <w:szCs w:val="16"/>
              </w:rPr>
              <w:t xml:space="preserve">manage</w:t>
            </w:r>
          </w:p>
        </w:tc>
        <w:tc>
          <w:tcPr>
            <w:tcW w:type="pct" w:w="2500"/>
            <w:tcMar>
              <w:top w:type="dxa" w:w="20"/>
              <w:left w:type="dxa" w:w="80"/>
              <w:bottom w:type="dxa" w:w="20"/>
              <w:right w:type="dxa" w:w="80"/>
            </w:tcMar>
          </w:tcPr>
          <w:p>
            <w:pPr>
              <w:spacing w:before="12" w:after="12"/>
            </w:pPr>
            <w:r>
              <w:rPr>
                <w:b/>
                <w:bCs/>
                <w:color w:val="8186EF"/>
                <w:sz w:val="16"/>
                <w:szCs w:val="16"/>
              </w:rPr>
              <w:t xml:space="preserve">16  </w:t>
            </w:r>
            <w:r>
              <w:rPr>
                <w:sz w:val="16"/>
                <w:szCs w:val="16"/>
              </w:rPr>
              <w:t xml:space="preserve">change</w:t>
            </w:r>
          </w:p>
        </w:tc>
      </w:tr>
      <w:tr>
        <w:tc>
          <w:tcPr>
            <w:tcW w:type="pct" w:w="2500"/>
            <w:tcMar>
              <w:top w:type="dxa" w:w="20"/>
              <w:left w:type="dxa" w:w="80"/>
              <w:bottom w:type="dxa" w:w="20"/>
              <w:right w:type="dxa" w:w="80"/>
            </w:tcMar>
          </w:tcPr>
          <w:p>
            <w:pPr>
              <w:spacing w:before="12" w:after="12"/>
            </w:pPr>
            <w:r>
              <w:rPr>
                <w:b/>
                <w:bCs/>
                <w:color w:val="8186EF"/>
                <w:sz w:val="16"/>
                <w:szCs w:val="16"/>
              </w:rPr>
              <w:t xml:space="preserve">2  </w:t>
            </w:r>
            <w:r>
              <w:rPr>
                <w:sz w:val="16"/>
                <w:szCs w:val="16"/>
              </w:rPr>
              <w:t xml:space="preserve">impossible</w:t>
            </w:r>
          </w:p>
        </w:tc>
        <w:tc>
          <w:tcPr>
            <w:tcW w:type="pct" w:w="2500"/>
            <w:tcMar>
              <w:top w:type="dxa" w:w="20"/>
              <w:left w:type="dxa" w:w="80"/>
              <w:bottom w:type="dxa" w:w="20"/>
              <w:right w:type="dxa" w:w="80"/>
            </w:tcMar>
          </w:tcPr>
          <w:p>
            <w:pPr>
              <w:spacing w:before="12" w:after="12"/>
            </w:pPr>
            <w:r>
              <w:rPr>
                <w:b/>
                <w:bCs/>
                <w:color w:val="8186EF"/>
                <w:sz w:val="16"/>
                <w:szCs w:val="16"/>
              </w:rPr>
              <w:t xml:space="preserve">17  </w:t>
            </w:r>
            <w:r>
              <w:rPr>
                <w:sz w:val="16"/>
                <w:szCs w:val="16"/>
              </w:rPr>
              <w:t xml:space="preserve">Income statement items, 2026</w:t>
            </w:r>
          </w:p>
        </w:tc>
      </w:tr>
      <w:tr>
        <w:tc>
          <w:tcPr>
            <w:tcW w:type="pct" w:w="2500"/>
            <w:tcMar>
              <w:top w:type="dxa" w:w="20"/>
              <w:left w:type="dxa" w:w="80"/>
              <w:bottom w:type="dxa" w:w="20"/>
              <w:right w:type="dxa" w:w="80"/>
            </w:tcMar>
          </w:tcPr>
          <w:p>
            <w:pPr>
              <w:spacing w:before="12" w:after="12"/>
            </w:pPr>
            <w:r>
              <w:rPr>
                <w:b/>
                <w:bCs/>
                <w:color w:val="8186EF"/>
                <w:sz w:val="16"/>
                <w:szCs w:val="16"/>
              </w:rPr>
              <w:t xml:space="preserve">3  </w:t>
            </w:r>
            <w:r>
              <w:rPr>
                <w:sz w:val="16"/>
                <w:szCs w:val="16"/>
              </w:rPr>
              <w:t xml:space="preserve">suppliers</w:t>
            </w:r>
          </w:p>
        </w:tc>
        <w:tc>
          <w:tcPr>
            <w:tcW w:type="pct" w:w="2500"/>
            <w:tcMar>
              <w:top w:type="dxa" w:w="20"/>
              <w:left w:type="dxa" w:w="80"/>
              <w:bottom w:type="dxa" w:w="20"/>
              <w:right w:type="dxa" w:w="80"/>
            </w:tcMar>
          </w:tcPr>
          <w:p>
            <w:pPr>
              <w:spacing w:before="12" w:after="12"/>
            </w:pPr>
            <w:r>
              <w:rPr>
                <w:b/>
                <w:bCs/>
                <w:color w:val="8186EF"/>
                <w:sz w:val="16"/>
                <w:szCs w:val="16"/>
              </w:rPr>
              <w:t xml:space="preserve">18  </w:t>
            </w:r>
            <w:r>
              <w:rPr>
                <w:sz w:val="16"/>
                <w:szCs w:val="16"/>
              </w:rPr>
              <w:t xml:space="preserve">Accounts receivable, net</w:t>
            </w:r>
          </w:p>
        </w:tc>
      </w:tr>
      <w:tr>
        <w:tc>
          <w:tcPr>
            <w:tcW w:type="pct" w:w="2500"/>
            <w:tcMar>
              <w:top w:type="dxa" w:w="20"/>
              <w:left w:type="dxa" w:w="80"/>
              <w:bottom w:type="dxa" w:w="20"/>
              <w:right w:type="dxa" w:w="80"/>
            </w:tcMar>
          </w:tcPr>
          <w:p>
            <w:pPr>
              <w:spacing w:before="12" w:after="12"/>
            </w:pPr>
            <w:r>
              <w:rPr>
                <w:b/>
                <w:bCs/>
                <w:color w:val="8186EF"/>
                <w:sz w:val="16"/>
                <w:szCs w:val="16"/>
              </w:rPr>
              <w:t xml:space="preserve">4  </w:t>
            </w:r>
            <w:r>
              <w:rPr>
                <w:sz w:val="16"/>
                <w:szCs w:val="16"/>
              </w:rPr>
              <w:t xml:space="preserve">receivables</w:t>
            </w:r>
          </w:p>
        </w:tc>
        <w:tc>
          <w:tcPr>
            <w:tcW w:type="pct" w:w="2500"/>
            <w:tcMar>
              <w:top w:type="dxa" w:w="20"/>
              <w:left w:type="dxa" w:w="80"/>
              <w:bottom w:type="dxa" w:w="20"/>
              <w:right w:type="dxa" w:w="80"/>
            </w:tcMar>
          </w:tcPr>
          <w:p>
            <w:pPr>
              <w:spacing w:before="12" w:after="12"/>
            </w:pPr>
            <w:r>
              <w:rPr>
                <w:b/>
                <w:bCs/>
                <w:color w:val="8186EF"/>
                <w:sz w:val="16"/>
                <w:szCs w:val="16"/>
              </w:rPr>
              <w:t xml:space="preserve">19  </w:t>
            </w:r>
            <w:r>
              <w:rPr>
                <w:sz w:val="16"/>
                <w:szCs w:val="16"/>
              </w:rPr>
              <w:t xml:space="preserve">Inventory</w:t>
            </w:r>
          </w:p>
        </w:tc>
      </w:tr>
      <w:tr>
        <w:tc>
          <w:tcPr>
            <w:tcW w:type="pct" w:w="2500"/>
            <w:tcMar>
              <w:top w:type="dxa" w:w="20"/>
              <w:left w:type="dxa" w:w="80"/>
              <w:bottom w:type="dxa" w:w="20"/>
              <w:right w:type="dxa" w:w="80"/>
            </w:tcMar>
          </w:tcPr>
          <w:p>
            <w:pPr>
              <w:spacing w:before="12" w:after="12"/>
            </w:pPr>
            <w:r>
              <w:rPr>
                <w:b/>
                <w:bCs/>
                <w:color w:val="8186EF"/>
                <w:sz w:val="16"/>
                <w:szCs w:val="16"/>
              </w:rPr>
              <w:t xml:space="preserve">5  </w:t>
            </w:r>
            <w:r>
              <w:rPr>
                <w:sz w:val="16"/>
                <w:szCs w:val="16"/>
              </w:rPr>
              <w:t xml:space="preserve">statement</w:t>
            </w:r>
          </w:p>
        </w:tc>
        <w:tc>
          <w:tcPr>
            <w:tcW w:type="pct" w:w="2500"/>
            <w:tcMar>
              <w:top w:type="dxa" w:w="20"/>
              <w:left w:type="dxa" w:w="80"/>
              <w:bottom w:type="dxa" w:w="20"/>
              <w:right w:type="dxa" w:w="80"/>
            </w:tcMar>
          </w:tcPr>
          <w:p>
            <w:pPr>
              <w:spacing w:before="12" w:after="12"/>
            </w:pPr>
            <w:r>
              <w:rPr>
                <w:b/>
                <w:bCs/>
                <w:color w:val="8186EF"/>
                <w:sz w:val="16"/>
                <w:szCs w:val="16"/>
              </w:rPr>
              <w:t xml:space="preserve">20  </w:t>
            </w:r>
            <w:r>
              <w:rPr>
                <w:sz w:val="16"/>
                <w:szCs w:val="16"/>
              </w:rPr>
              <w:t xml:space="preserve">Prepaid rent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6  </w:t>
            </w:r>
            <w:r>
              <w:rPr>
                <w:sz w:val="16"/>
                <w:szCs w:val="16"/>
              </w:rPr>
              <w:t xml:space="preserve">measure</w:t>
            </w:r>
          </w:p>
        </w:tc>
        <w:tc>
          <w:tcPr>
            <w:tcW w:type="pct" w:w="2500"/>
            <w:tcMar>
              <w:top w:type="dxa" w:w="20"/>
              <w:left w:type="dxa" w:w="80"/>
              <w:bottom w:type="dxa" w:w="20"/>
              <w:right w:type="dxa" w:w="80"/>
            </w:tcMar>
          </w:tcPr>
          <w:p>
            <w:pPr>
              <w:spacing w:before="12" w:after="12"/>
            </w:pPr>
            <w:r>
              <w:rPr>
                <w:b/>
                <w:bCs/>
                <w:color w:val="8186EF"/>
                <w:sz w:val="16"/>
                <w:szCs w:val="16"/>
              </w:rPr>
              <w:t xml:space="preserve">21  </w:t>
            </w:r>
            <w:r>
              <w:rPr>
                <w:sz w:val="16"/>
                <w:szCs w:val="16"/>
              </w:rPr>
              <w:t xml:space="preserve">Accounts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7  </w:t>
            </w:r>
            <w:r>
              <w:rPr>
                <w:sz w:val="16"/>
                <w:szCs w:val="16"/>
              </w:rPr>
              <w:t xml:space="preserve">Important</w:t>
            </w:r>
          </w:p>
        </w:tc>
        <w:tc>
          <w:tcPr>
            <w:tcW w:type="pct" w:w="2500"/>
            <w:tcMar>
              <w:top w:type="dxa" w:w="20"/>
              <w:left w:type="dxa" w:w="80"/>
              <w:bottom w:type="dxa" w:w="20"/>
              <w:right w:type="dxa" w:w="80"/>
            </w:tcMar>
          </w:tcPr>
          <w:p>
            <w:pPr>
              <w:spacing w:before="12" w:after="12"/>
            </w:pPr>
            <w:r>
              <w:rPr>
                <w:b/>
                <w:bCs/>
                <w:color w:val="8186EF"/>
                <w:sz w:val="16"/>
                <w:szCs w:val="16"/>
              </w:rPr>
              <w:t xml:space="preserve">22  </w:t>
            </w:r>
            <w:r>
              <w:rPr>
                <w:sz w:val="16"/>
                <w:szCs w:val="16"/>
              </w:rPr>
              <w:t xml:space="preserve">Income taxes payable</w:t>
            </w:r>
          </w:p>
        </w:tc>
      </w:tr>
      <w:tr>
        <w:tc>
          <w:tcPr>
            <w:tcW w:type="pct" w:w="2500"/>
            <w:tcMar>
              <w:top w:type="dxa" w:w="20"/>
              <w:left w:type="dxa" w:w="80"/>
              <w:bottom w:type="dxa" w:w="20"/>
              <w:right w:type="dxa" w:w="80"/>
            </w:tcMar>
          </w:tcPr>
          <w:p>
            <w:pPr>
              <w:spacing w:before="12" w:after="12"/>
            </w:pPr>
            <w:r>
              <w:rPr>
                <w:b/>
                <w:bCs/>
                <w:color w:val="8186EF"/>
                <w:sz w:val="16"/>
                <w:szCs w:val="16"/>
              </w:rPr>
              <w:t xml:space="preserve">8  </w:t>
            </w:r>
            <w:r>
              <w:rPr>
                <w:sz w:val="16"/>
                <w:szCs w:val="16"/>
              </w:rPr>
              <w:t xml:space="preserve">building</w:t>
            </w:r>
          </w:p>
        </w:tc>
        <w:tc>
          <w:tcPr>
            <w:tcW w:type="pct" w:w="2500"/>
            <w:tcMar>
              <w:top w:type="dxa" w:w="20"/>
              <w:left w:type="dxa" w:w="80"/>
              <w:bottom w:type="dxa" w:w="20"/>
              <w:right w:type="dxa" w:w="80"/>
            </w:tcMar>
          </w:tcPr>
          <w:p>
            <w:pPr>
              <w:spacing w:before="12" w:after="12"/>
            </w:pPr>
            <w:r>
              <w:rPr>
                <w:b/>
                <w:bCs/>
                <w:color w:val="8186EF"/>
                <w:sz w:val="16"/>
                <w:szCs w:val="16"/>
              </w:rPr>
              <w:t xml:space="preserve">23  </w:t>
            </w:r>
            <w:r>
              <w:rPr>
                <w:sz w:val="16"/>
                <w:szCs w:val="16"/>
              </w:rPr>
              <w:t xml:space="preserve">Cash</w:t>
            </w:r>
          </w:p>
        </w:tc>
      </w:tr>
      <w:tr>
        <w:tc>
          <w:tcPr>
            <w:tcW w:type="pct" w:w="2500"/>
            <w:tcMar>
              <w:top w:type="dxa" w:w="20"/>
              <w:left w:type="dxa" w:w="80"/>
              <w:bottom w:type="dxa" w:w="20"/>
              <w:right w:type="dxa" w:w="80"/>
            </w:tcMar>
          </w:tcPr>
          <w:p>
            <w:pPr>
              <w:spacing w:before="12" w:after="12"/>
            </w:pPr>
            <w:r>
              <w:rPr>
                <w:b/>
                <w:bCs/>
                <w:color w:val="8186EF"/>
                <w:sz w:val="16"/>
                <w:szCs w:val="16"/>
              </w:rPr>
              <w:t xml:space="preserve">9  </w:t>
            </w:r>
            <w:r>
              <w:rPr>
                <w:sz w:val="16"/>
                <w:szCs w:val="16"/>
              </w:rPr>
              <w:t xml:space="preserve">classifications</w:t>
            </w:r>
          </w:p>
        </w:tc>
        <w:tc>
          <w:tcPr>
            <w:tcW w:type="pct" w:w="2500"/>
            <w:tcMar>
              <w:top w:type="dxa" w:w="20"/>
              <w:left w:type="dxa" w:w="80"/>
              <w:bottom w:type="dxa" w:w="20"/>
              <w:right w:type="dxa" w:w="80"/>
            </w:tcMar>
          </w:tcPr>
          <w:p>
            <w:pPr>
              <w:spacing w:before="12" w:after="12"/>
            </w:pPr>
            <w:r>
              <w:rPr>
                <w:b/>
                <w:bCs/>
                <w:color w:val="8186EF"/>
                <w:sz w:val="16"/>
                <w:szCs w:val="16"/>
              </w:rPr>
              <w:t xml:space="preserve">24  </w:t>
            </w:r>
            <w:r>
              <w:rPr>
                <w:sz w:val="16"/>
                <w:szCs w:val="16"/>
              </w:rPr>
              <w:t xml:space="preserve">Proceeds from sale of the division</w:t>
            </w:r>
          </w:p>
        </w:tc>
      </w:tr>
      <w:tr>
        <w:tc>
          <w:tcPr>
            <w:tcW w:type="pct" w:w="2500"/>
            <w:tcMar>
              <w:top w:type="dxa" w:w="20"/>
              <w:left w:type="dxa" w:w="80"/>
              <w:bottom w:type="dxa" w:w="20"/>
              <w:right w:type="dxa" w:w="80"/>
            </w:tcMar>
          </w:tcPr>
          <w:p>
            <w:pPr>
              <w:spacing w:before="12" w:after="12"/>
            </w:pPr>
            <w:r>
              <w:rPr>
                <w:b/>
                <w:bCs/>
                <w:color w:val="8186EF"/>
                <w:sz w:val="16"/>
                <w:szCs w:val="16"/>
              </w:rPr>
              <w:t xml:space="preserve">10  </w:t>
            </w:r>
            <w:r>
              <w:rPr>
                <w:sz w:val="16"/>
                <w:szCs w:val="16"/>
              </w:rPr>
              <w:t xml:space="preserve">interest</w:t>
            </w:r>
          </w:p>
        </w:tc>
        <w:tc>
          <w:tcPr>
            <w:tcW w:type="pct" w:w="2500"/>
            <w:tcMar>
              <w:top w:type="dxa" w:w="20"/>
              <w:left w:type="dxa" w:w="80"/>
              <w:bottom w:type="dxa" w:w="20"/>
              <w:right w:type="dxa" w:w="80"/>
            </w:tcMar>
          </w:tcPr>
          <w:p>
            <w:pPr>
              <w:spacing w:before="12" w:after="12"/>
            </w:pPr>
            <w:r>
              <w:rPr>
                <w:b/>
                <w:bCs/>
                <w:color w:val="8186EF"/>
                <w:sz w:val="16"/>
                <w:szCs w:val="16"/>
              </w:rPr>
              <w:t xml:space="preserve">25  </w:t>
            </w:r>
            <w:r>
              <w:rPr>
                <w:sz w:val="16"/>
                <w:szCs w:val="16"/>
              </w:rPr>
              <w:t xml:space="preserve">Purchases of equipment</w:t>
            </w:r>
          </w:p>
        </w:tc>
      </w:tr>
      <w:tr>
        <w:tc>
          <w:tcPr>
            <w:tcW w:type="pct" w:w="2500"/>
            <w:tcMar>
              <w:top w:type="dxa" w:w="20"/>
              <w:left w:type="dxa" w:w="80"/>
              <w:bottom w:type="dxa" w:w="20"/>
              <w:right w:type="dxa" w:w="80"/>
            </w:tcMar>
          </w:tcPr>
          <w:p>
            <w:pPr>
              <w:spacing w:before="12" w:after="12"/>
            </w:pPr>
            <w:r>
              <w:rPr>
                <w:b/>
                <w:bCs/>
                <w:color w:val="8186EF"/>
                <w:sz w:val="16"/>
                <w:szCs w:val="16"/>
              </w:rPr>
              <w:t xml:space="preserve">11  </w:t>
            </w:r>
            <w:r>
              <w:rPr>
                <w:sz w:val="16"/>
                <w:szCs w:val="16"/>
              </w:rPr>
              <w:t xml:space="preserve">Finally</w:t>
            </w:r>
          </w:p>
        </w:tc>
        <w:tc>
          <w:tcPr>
            <w:tcW w:type="pct" w:w="2500"/>
            <w:tcMar>
              <w:top w:type="dxa" w:w="20"/>
              <w:left w:type="dxa" w:w="80"/>
              <w:bottom w:type="dxa" w:w="20"/>
              <w:right w:type="dxa" w:w="80"/>
            </w:tcMar>
          </w:tcPr>
          <w:p>
            <w:pPr>
              <w:spacing w:before="12" w:after="12"/>
            </w:pPr>
            <w:r>
              <w:rPr>
                <w:b/>
                <w:bCs/>
                <w:color w:val="8186EF"/>
                <w:sz w:val="16"/>
                <w:szCs w:val="16"/>
              </w:rPr>
              <w:t xml:space="preserve">26  </w:t>
            </w:r>
            <w:r>
              <w:rPr>
                <w:sz w:val="16"/>
                <w:szCs w:val="16"/>
              </w:rPr>
              <w:t xml:space="preserve">Operating (U.S. GAAP gives no choice).</w:t>
            </w:r>
          </w:p>
        </w:tc>
      </w:tr>
      <w:tr>
        <w:tc>
          <w:tcPr>
            <w:tcW w:type="pct" w:w="2500"/>
            <w:tcMar>
              <w:top w:type="dxa" w:w="20"/>
              <w:left w:type="dxa" w:w="80"/>
              <w:bottom w:type="dxa" w:w="20"/>
              <w:right w:type="dxa" w:w="80"/>
            </w:tcMar>
          </w:tcPr>
          <w:p>
            <w:pPr>
              <w:spacing w:before="12" w:after="12"/>
            </w:pPr>
            <w:r>
              <w:rPr>
                <w:b/>
                <w:bCs/>
                <w:color w:val="8186EF"/>
                <w:sz w:val="16"/>
                <w:szCs w:val="16"/>
              </w:rPr>
              <w:t xml:space="preserve">12  </w:t>
            </w:r>
            <w:r>
              <w:rPr>
                <w:sz w:val="16"/>
                <w:szCs w:val="16"/>
              </w:rPr>
              <w:t xml:space="preserve">mislead</w:t>
            </w:r>
          </w:p>
        </w:tc>
        <w:tc>
          <w:tcPr>
            <w:tcW w:type="pct" w:w="2500"/>
            <w:tcMar>
              <w:top w:type="dxa" w:w="20"/>
              <w:left w:type="dxa" w:w="80"/>
              <w:bottom w:type="dxa" w:w="20"/>
              <w:right w:type="dxa" w:w="80"/>
            </w:tcMar>
          </w:tcPr>
          <w:p>
            <w:pPr>
              <w:spacing w:before="12" w:after="12"/>
            </w:pPr>
            <w:r>
              <w:rPr>
                <w:b/>
                <w:bCs/>
                <w:color w:val="8186EF"/>
                <w:sz w:val="16"/>
                <w:szCs w:val="16"/>
              </w:rPr>
              <w:t xml:space="preserve">27  </w:t>
            </w:r>
            <w:r>
              <w:rPr>
                <w:sz w:val="16"/>
                <w:szCs w:val="16"/>
              </w:rPr>
              <w:t xml:space="preserve">securities</w:t>
            </w:r>
          </w:p>
        </w:tc>
      </w:tr>
      <w:tr>
        <w:tc>
          <w:tcPr>
            <w:tcW w:type="pct" w:w="2500"/>
            <w:tcMar>
              <w:top w:type="dxa" w:w="20"/>
              <w:left w:type="dxa" w:w="80"/>
              <w:bottom w:type="dxa" w:w="20"/>
              <w:right w:type="dxa" w:w="80"/>
            </w:tcMar>
          </w:tcPr>
          <w:p>
            <w:pPr>
              <w:spacing w:before="12" w:after="12"/>
            </w:pPr>
            <w:r>
              <w:rPr>
                <w:b/>
                <w:bCs/>
                <w:color w:val="8186EF"/>
                <w:sz w:val="16"/>
                <w:szCs w:val="16"/>
              </w:rPr>
              <w:t xml:space="preserve">13  </w:t>
            </w:r>
            <w:r>
              <w:rPr>
                <w:sz w:val="16"/>
                <w:szCs w:val="16"/>
              </w:rPr>
              <w:t xml:space="preserve">disclosures</w:t>
            </w:r>
          </w:p>
        </w:tc>
        <w:tc>
          <w:tcPr>
            <w:tcW w:type="pct" w:w="2500"/>
            <w:tcMar>
              <w:top w:type="dxa" w:w="20"/>
              <w:left w:type="dxa" w:w="80"/>
              <w:bottom w:type="dxa" w:w="20"/>
              <w:right w:type="dxa" w:w="80"/>
            </w:tcMar>
          </w:tcPr>
          <w:p>
            <w:pPr>
              <w:spacing w:before="12" w:after="12"/>
            </w:pPr>
            <w:r>
              <w:rPr>
                <w:b/>
                <w:bCs/>
                <w:color w:val="8186EF"/>
                <w:sz w:val="16"/>
                <w:szCs w:val="16"/>
              </w:rPr>
              <w:t xml:space="preserve">28  </w:t>
            </w:r>
            <w:r>
              <w:rPr>
                <w:sz w:val="16"/>
                <w:szCs w:val="16"/>
              </w:rPr>
              <w:t xml:space="preserve">Interest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14  </w:t>
            </w:r>
            <w:r>
              <w:rPr>
                <w:sz w:val="16"/>
                <w:szCs w:val="16"/>
              </w:rPr>
              <w:t xml:space="preserve">digital</w:t>
            </w:r>
          </w:p>
        </w:tc>
        <w:tc>
          <w:tcPr>
            <w:tcW w:type="pct" w:w="2500"/>
            <w:tcMar>
              <w:top w:type="dxa" w:w="20"/>
              <w:left w:type="dxa" w:w="80"/>
              <w:bottom w:type="dxa" w:w="20"/>
              <w:right w:type="dxa" w:w="80"/>
            </w:tcMar>
          </w:tcPr>
          <w:p>
            <w:pPr>
              <w:spacing w:before="12" w:after="12"/>
            </w:pPr>
            <w:r>
              <w:rPr>
                <w:b/>
                <w:bCs/>
                <w:color w:val="8186EF"/>
                <w:sz w:val="16"/>
                <w:szCs w:val="16"/>
              </w:rPr>
              <w:t xml:space="preserve">29  </w:t>
            </w:r>
            <w:r>
              <w:rPr>
                <w:sz w:val="16"/>
                <w:szCs w:val="16"/>
              </w:rPr>
              <w:t xml:space="preserve">Dividend paid</w:t>
            </w:r>
          </w:p>
        </w:tc>
      </w:tr>
      <w:tr>
        <w:tc>
          <w:tcPr>
            <w:tcW w:type="pct" w:w="2500"/>
            <w:tcMar>
              <w:top w:type="dxa" w:w="20"/>
              <w:left w:type="dxa" w:w="80"/>
              <w:bottom w:type="dxa" w:w="20"/>
              <w:right w:type="dxa" w:w="80"/>
            </w:tcMar>
          </w:tcPr>
          <w:p>
            <w:pPr>
              <w:spacing w:before="12" w:after="12"/>
            </w:pPr>
            <w:r>
              <w:rPr>
                <w:b/>
                <w:bCs/>
                <w:color w:val="8186EF"/>
                <w:sz w:val="16"/>
                <w:szCs w:val="16"/>
              </w:rPr>
              <w:t xml:space="preserve">15  </w:t>
            </w:r>
            <w:r>
              <w:rPr>
                <w:sz w:val="16"/>
                <w:szCs w:val="16"/>
              </w:rPr>
              <w:t xml:space="preserve">definition</w:t>
            </w:r>
          </w:p>
        </w:tc>
        <w:tc>
          <w:tcPr>
            <w:tcW w:type="pct" w:w="2500"/>
            <w:tcMar>
              <w:top w:type="dxa" w:w="20"/>
              <w:left w:type="dxa" w:w="80"/>
              <w:bottom w:type="dxa" w:w="20"/>
              <w:right w:type="dxa" w:w="80"/>
            </w:tcMar>
          </w:tcPr>
          <w:p>
            <w:pPr>
              <w:spacing w:before="24" w:after="24"/>
            </w:pPr>
            <w:r>
              <w:rPr>
                <w:sz w:val="16"/>
                <w:szCs w:val="16"/>
              </w:rPr>
              <w:t xml:space="preserve"/>
            </w:r>
          </w:p>
        </w:tc>
      </w:tr>
    </w:tbl>
    <w:p/>
    <w:p>
      <w:pPr>
        <w:spacing w:before="50" w:after="14"/>
      </w:pPr>
      <w:r>
        <w:rPr>
          <w:b/>
          <w:bCs/>
          <w:color w:val="353A7C"/>
          <w:sz w:val="18"/>
          <w:szCs w:val="18"/>
        </w:rPr>
        <w:t xml:space="preserve">the summaries in full</w:t>
      </w:r>
    </w:p>
    <w:p>
      <w:pPr>
        <w:spacing w:before="20" w:after="20"/>
        <w:ind w:left="240" w:hanging="240"/>
      </w:pPr>
      <w:r>
        <w:rPr>
          <w:b/>
          <w:bCs/>
          <w:color w:val="353A7C"/>
          <w:sz w:val="15"/>
          <w:szCs w:val="15"/>
        </w:rPr>
        <w:t xml:space="preserve">Summary 1   </w:t>
      </w:r>
      <w:r>
        <w:rPr>
          <w:color w:val="6B7280"/>
          <w:sz w:val="15"/>
          <w:szCs w:val="15"/>
        </w:rPr>
        <w:t xml:space="preserve">Cash flows are harder to manage than profits, but not impossible. A company can raise operating cash near year-end by delaying payments to suppliers or by selling receivables. The statement also shows only one year, and it is not a measure of profit. Important noncash deals, such as buying a building with a mortgage, appear only in the notes. Some classifications are also arbitrary: interest paid is operating under U.S. GAAP but may be financing under IFRS, which makes companies harder to compare. Finally, one year of cash flows can mislead. A company that stops investing will show strong cash flow for a while, even if its future is weak. The links also help you find amounts that are not given. Orontes declared dividends of $450,000, but dividends payable rose by $400,000, so dividends paid were only $50,000. That is the amount in the financing section.</w:t>
      </w:r>
    </w:p>
    <w:p>
      <w:pPr>
        <w:spacing w:before="20" w:after="20"/>
        <w:ind w:left="240" w:hanging="240"/>
      </w:pPr>
      <w:r>
        <w:rPr>
          <w:b/>
          <w:bCs/>
          <w:color w:val="353A7C"/>
          <w:sz w:val="15"/>
          <w:szCs w:val="15"/>
        </w:rPr>
        <w:t xml:space="preserve">Summary 2   </w:t>
      </w:r>
      <w:r>
        <w:rPr>
          <w:color w:val="6B7280"/>
          <w:sz w:val="15"/>
          <w:szCs w:val="15"/>
        </w:rPr>
        <w:t xml:space="preserve">In August 2026 the FASB proposed new disclosures about the parts of cash equivalents and about some digital assets. It is only a proposal; the definition of cash equivalents does not change. ASU 2023-09 already requires income taxes paid by jurisdiction; know this at awareness level.</w:t>
      </w:r>
    </w:p>
    <w:p>
      <w:pPr>
        <w:sectPr>
          <w:headerReference w:type="default" r:id="rIdHdr10"/>
          <w:pgSz w:w="11906" w:h="16838" w:orient="portrait"/>
          <w:pgMar w:top="1180" w:right="1000" w:bottom="900" w:left="1000" w:header="708" w:footer="708" w:gutter="0"/>
          <w:docGrid w:linePitch="360"/>
          <w:pgNumType w:start="1"/>
        </w:sectPr>
      </w:pPr>
    </w:p>
    <w:sectPr>
      <w:headerReference w:type="default" r:id="rIdHdr10"/>
      <w:pgSz w:w="11906" w:h="16838" w:orient="portrait"/>
      <w:pgMar w:top="1180" w:right="1000" w:bottom="900" w:left="1000" w:header="708" w:footer="708" w:gutter="0"/>
      <w:docGrid w:linePitch="360"/>
      <w:pgNumType/>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5.1 · Purpose and structure of the statement of cash flows</w:t>
          </w:r>
        </w:p>
      </w:tc>
      <w:tc>
        <w:tcPr>
          <w:tcW w:type="pct" w:w="1400"/>
          <w:tcMar>
            <w:top w:type="dxa" w:w="-30"/>
            <w:left w:type="dxa" w:w="30"/>
            <w:bottom w:type="dxa" w:w="-30"/>
            <w:right w:type="dxa" w:w="30"/>
          </w:tcMar>
        </w:tcPr>
        <w:p>
          <w:pPr>
            <w:jc w:val="right"/>
          </w:pPr>
          <w:r>
            <w:rPr>
              <w:color w:val="6B7280"/>
              <w:sz w:val="16"/>
              <w:szCs w:val="16"/>
            </w:rPr>
            <w:t xml:space="preserve">Handout 5.1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5.1</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5.2 · Classifying cash flows</w:t>
          </w:r>
        </w:p>
      </w:tc>
      <w:tc>
        <w:tcPr>
          <w:tcW w:type="pct" w:w="1400"/>
          <w:tcMar>
            <w:top w:type="dxa" w:w="-30"/>
            <w:left w:type="dxa" w:w="30"/>
            <w:bottom w:type="dxa" w:w="-30"/>
            <w:right w:type="dxa" w:w="30"/>
          </w:tcMar>
        </w:tcPr>
        <w:p>
          <w:pPr>
            <w:jc w:val="right"/>
          </w:pPr>
          <w:r>
            <w:rPr>
              <w:color w:val="6B7280"/>
              <w:sz w:val="16"/>
              <w:szCs w:val="16"/>
            </w:rPr>
            <w:t xml:space="preserve">Handout 5.2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5.2</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5.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5.3 · The indirect method</w:t>
          </w:r>
        </w:p>
      </w:tc>
      <w:tc>
        <w:tcPr>
          <w:tcW w:type="pct" w:w="1400"/>
          <w:tcMar>
            <w:top w:type="dxa" w:w="-30"/>
            <w:left w:type="dxa" w:w="30"/>
            <w:bottom w:type="dxa" w:w="-30"/>
            <w:right w:type="dxa" w:w="30"/>
          </w:tcMar>
        </w:tcPr>
        <w:p>
          <w:pPr>
            <w:jc w:val="right"/>
          </w:pPr>
          <w:r>
            <w:rPr>
              <w:color w:val="6B7280"/>
              <w:sz w:val="16"/>
              <w:szCs w:val="16"/>
            </w:rPr>
            <w:t xml:space="preserve">Handout 5.3 — Page </w:t>
          </w:r>
          <w:fldSimple w:instr=" PAGE ">
            <w:r>
              <w:rPr>
                <w:b/>
                <w:bCs/>
                <w:color w:val="23265A"/>
                <w:sz w:val="16"/>
                <w:szCs w:val="16"/>
              </w:rPr>
              <w:t xml:space="preserve">1</w:t>
            </w:r>
          </w:fldSimple>
          <w:r>
            <w:rPr>
              <w:color w:val="6B7280"/>
              <w:sz w:val="16"/>
              <w:szCs w:val="16"/>
            </w:rPr>
            <w:t xml:space="preserve"> of 2</w:t>
          </w:r>
        </w:p>
      </w:tc>
    </w:tr>
  </w:tbl>
  <w:p>
    <w:pPr>
      <w:spacing w:after="0"/>
    </w:pPr>
  </w:p>
</w:hdr>
</file>

<file path=word/header6.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5.3</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7.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5.4 · The direct method and required disclosures</w:t>
          </w:r>
        </w:p>
      </w:tc>
      <w:tc>
        <w:tcPr>
          <w:tcW w:type="pct" w:w="1400"/>
          <w:tcMar>
            <w:top w:type="dxa" w:w="-30"/>
            <w:left w:type="dxa" w:w="30"/>
            <w:bottom w:type="dxa" w:w="-30"/>
            <w:right w:type="dxa" w:w="30"/>
          </w:tcMar>
        </w:tcPr>
        <w:p>
          <w:pPr>
            <w:jc w:val="right"/>
          </w:pPr>
          <w:r>
            <w:rPr>
              <w:color w:val="6B7280"/>
              <w:sz w:val="16"/>
              <w:szCs w:val="16"/>
            </w:rPr>
            <w:t xml:space="preserve">Handout 5.4 — Page </w:t>
          </w:r>
          <w:fldSimple w:instr=" PAGE ">
            <w:r>
              <w:rPr>
                <w:b/>
                <w:bCs/>
                <w:color w:val="23265A"/>
                <w:sz w:val="16"/>
                <w:szCs w:val="16"/>
              </w:rPr>
              <w:t xml:space="preserve">1</w:t>
            </w:r>
          </w:fldSimple>
          <w:r>
            <w:rPr>
              <w:color w:val="6B7280"/>
              <w:sz w:val="16"/>
              <w:szCs w:val="16"/>
            </w:rPr>
            <w:t xml:space="preserve"> of 1</w:t>
          </w:r>
        </w:p>
      </w:tc>
    </w:tr>
  </w:tbl>
  <w:p>
    <w:pPr>
      <w:spacing w:after="0"/>
    </w:pPr>
  </w:p>
</w:hdr>
</file>

<file path=word/header8.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5.4</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header9.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Summary handout 5.5 · Limitations and links between the four statements</w:t>
          </w:r>
        </w:p>
      </w:tc>
      <w:tc>
        <w:tcPr>
          <w:tcW w:type="pct" w:w="1400"/>
          <w:tcMar>
            <w:top w:type="dxa" w:w="-30"/>
            <w:left w:type="dxa" w:w="30"/>
            <w:bottom w:type="dxa" w:w="-30"/>
            <w:right w:type="dxa" w:w="30"/>
          </w:tcMar>
        </w:tcPr>
        <w:p>
          <w:pPr>
            <w:jc w:val="right"/>
          </w:pPr>
          <w:r>
            <w:rPr>
              <w:color w:val="6B7280"/>
              <w:sz w:val="16"/>
              <w:szCs w:val="16"/>
            </w:rPr>
            <w:t xml:space="preserve">Handout 5.5 — Page </w:t>
          </w:r>
          <w:fldSimple w:instr=" PAGE ">
            <w:r>
              <w:rPr>
                <w:b/>
                <w:bCs/>
                <w:color w:val="23265A"/>
                <w:sz w:val="16"/>
                <w:szCs w:val="16"/>
              </w:rPr>
              <w:t xml:space="preserve">1</w:t>
            </w:r>
          </w:fldSimple>
          <w:r>
            <w:rPr>
              <w:color w:val="6B7280"/>
              <w:sz w:val="16"/>
              <w:szCs w:val="16"/>
            </w:rPr>
            <w:t xml:space="preserve"> of 3</w:t>
          </w:r>
        </w:p>
      </w:tc>
    </w:tr>
  </w:tbl>
  <w:p>
    <w:pPr>
      <w:spacing w:after="0"/>
    </w:pPr>
  </w:p>
</w:hdr>
</file>

<file path=word/header10.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tbl>
    <w:tblPr>
      <w:tblW w:type="pct" w:w="100%"/>
      <w:tblBorders>
        <w:bottom w:val="single" w:color="DFE3EE" w:sz="8"/>
      </w:tblBorders>
    </w:tblPr>
    <w:tblGrid>
      <w:gridCol w:w="7400"/>
      <w:gridCol w:w="2000"/>
    </w:tblGrid>
    <w:tr>
      <w:tc>
        <w:tcPr>
          <w:tcW w:type="pct" w:w="3600"/>
          <w:tcMar>
            <w:top w:type="dxa" w:w="-30"/>
            <w:left w:type="dxa" w:w="30"/>
            <w:bottom w:type="dxa" w:w="-30"/>
            <w:right w:type="dxa" w:w="30"/>
          </w:tcMar>
        </w:tcPr>
        <w:p>
          <w:r>
            <w:rPr>
              <w:b/>
              <w:bCs/>
              <w:color w:val="23265A"/>
              <w:sz w:val="16"/>
              <w:szCs w:val="16"/>
            </w:rPr>
            <w:t xml:space="preserve">Answer key · 5.5</w:t>
          </w:r>
        </w:p>
      </w:tc>
      <w:tc>
        <w:tcPr>
          <w:tcW w:type="pct" w:w="1400"/>
          <w:tcMar>
            <w:top w:type="dxa" w:w="-30"/>
            <w:left w:type="dxa" w:w="30"/>
            <w:bottom w:type="dxa" w:w="-30"/>
            <w:right w:type="dxa" w:w="30"/>
          </w:tcMar>
        </w:tcPr>
        <w:p>
          <w:pPr>
            <w:jc w:val="right"/>
          </w:pPr>
          <w:r>
            <w:rPr>
              <w:color w:val="6B7280"/>
              <w:sz w:val="16"/>
              <w:szCs w:val="16"/>
            </w:rPr>
            <w:t xml:space="preserve">Answer key — Page </w:t>
          </w:r>
          <w:fldSimple w:instr=" PAGE ">
            <w:r>
              <w:rPr>
                <w:b/>
                <w:bCs/>
                <w:color w:val="23265A"/>
                <w:sz w:val="16"/>
                <w:szCs w:val="16"/>
              </w:rPr>
              <w:t xml:space="preserve">1</w:t>
            </w:r>
          </w:fldSimple>
          <w:r>
            <w:rPr>
              <w:color w:val="6B7280"/>
              <w:sz w:val="16"/>
              <w:szCs w:val="16"/>
            </w:rPr>
            <w:t xml:space="preserve"/>
          </w:r>
        </w:p>
      </w:tc>
    </w:tr>
  </w:tbl>
  <w:p>
    <w:pPr>
      <w:spacing w:after="0"/>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openxmlformats.org/wordprocessingml/2006/main" xmlns:w15="http://schemas.openxmlformats.org/wordprocessingml/2006/main" xmlns:wpg="http://schemas.microsoft.com/office/word/2010/wordprocessingGroup" xmlns:wpi="http://schemas.microsoft.com/office/word/2010/wordprocessingInk" xmlns:wne="http://schemas.microsoft.com/office/word/2006/wordml" xmlns:wps="http://schemas.microsoft.com/office/word/2010/wordprocessingShape">
  <w:defaultTabStop w:val="720"/>
  <w:compat>
    <w:compatSetting w:name="compatibilityMode" w:uri="http://schemas.microsoft.com/office/word" w:val="15"/>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Relationships xmlns="http://schemas.openxmlformats.org/package/2006/relationships"><Relationship Id="rIdstyles" Target="styles.xml" Type="http://schemas.openxmlformats.org/officeDocument/2006/relationships/styles"/><Relationship Id="rIdnumbering" Target="numbering.xml" Type="http://schemas.openxmlformats.org/officeDocument/2006/relationships/numbering"/><Relationship Id="rIdfontTable" Target="fontTable.xml" Type="http://schemas.openxmlformats.org/officeDocument/2006/relationships/fontTable"/><Relationship Id="rIdsettings" Target="settings.xml" Type="http://schemas.openxmlformats.org/officeDocument/2006/relationships/settings"/><Relationship Id="rId101" Target="media/c2ccdcef03ee4613a15991a3f896b6b54d951f4d.png" Type="http://schemas.openxmlformats.org/officeDocument/2006/relationships/image"/><Relationship Id="rId102" Target="media/8db2abe1ddbaafa868e515fed5519dfe0d92bc90.png" Type="http://schemas.openxmlformats.org/officeDocument/2006/relationships/image"/><Relationship Id="rId103" Target="media/cc9a644d92103316c913de4bde48f6c0a6ffc573.png" Type="http://schemas.openxmlformats.org/officeDocument/2006/relationships/image"/><Relationship Id="rId104" Target="media/85eabf43db71974cbc38e28059b6e26880a3bf42.png" Type="http://schemas.openxmlformats.org/officeDocument/2006/relationships/image"/><Relationship Id="rId105" Target="media/cd050a3751879b5e2321c2fea9ec57d212e7bf58.png" Type="http://schemas.openxmlformats.org/officeDocument/2006/relationships/image"/><Relationship Id="rId106" Target="media/0e3dcc198ce4b402c04a40ded42335ed43da313a.png" Type="http://schemas.openxmlformats.org/officeDocument/2006/relationships/image"/><Relationship Id="rId107" Target="media/9d21e786eb1cb89d97e9bbf8aac784cf0ebfcd79.png" Type="http://schemas.openxmlformats.org/officeDocument/2006/relationships/image"/><Relationship Id="rIdHdr1" Target="header1.xml" Type="http://schemas.openxmlformats.org/officeDocument/2006/relationships/header"/><Relationship Id="rIdHdr2" Target="header2.xml" Type="http://schemas.openxmlformats.org/officeDocument/2006/relationships/header"/><Relationship Id="rIdHdr3" Target="header3.xml" Type="http://schemas.openxmlformats.org/officeDocument/2006/relationships/header"/><Relationship Id="rIdHdr4" Target="header4.xml" Type="http://schemas.openxmlformats.org/officeDocument/2006/relationships/header"/><Relationship Id="rIdHdr5" Target="header5.xml" Type="http://schemas.openxmlformats.org/officeDocument/2006/relationships/header"/><Relationship Id="rIdHdr6" Target="header6.xml" Type="http://schemas.openxmlformats.org/officeDocument/2006/relationships/header"/><Relationship Id="rIdHdr7" Target="header7.xml" Type="http://schemas.openxmlformats.org/officeDocument/2006/relationships/header"/><Relationship Id="rIdHdr8" Target="header8.xml" Type="http://schemas.openxmlformats.org/officeDocument/2006/relationships/header"/><Relationship Id="rIdHdr9" Target="header9.xml" Type="http://schemas.openxmlformats.org/officeDocument/2006/relationships/header"/><Relationship Id="rIdHdr10" Target="header10.xml" Type="http://schemas.openxmlformats.org/officeDocument/2006/relationships/header"/></Relationships>
</file>

<file path=docProps/core.xml><?xml version="1.0" encoding="utf-8"?>
<cp:coreProperties xmlns:cp="http://schemas.openxmlformats.org/package/2006/metadata/core-properties" xmlns:dc="http://purl.org/dc/elements/1.1/" xmlns:dcterms="http://purl.org/dc/terms/" xmlns:xsi="http://www.w3.org/2001/XMLSchema-instance">
  <dc:title>CMA Part 1 · Book 1 · Chapter 5</dc:title>
  <dc:subject>Summary handouts</dc:subject>
  <cp:category>Student Book</cp:category>
</cp:coreProperties>
</file>