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7.1  Which goods belong in inventory?</w:t>
            </w:r>
          </w:p>
          <w:p>
            <w:pPr>
              <w:spacing w:before="0" w:after="46"/>
            </w:pPr>
            <w:r>
              <w:rPr>
                <w:color w:val="E8EAF6"/>
                <w:sz w:val="16"/>
                <w:szCs w:val="16"/>
              </w:rPr>
              <w:t xml:space="preserve">Chapter 7 · section 7.1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7,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196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19692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Cost flow assumptions   ·   Inventory errors   ·   FOB destination</w:t>
            </w:r>
          </w:p>
        </w:tc>
      </w:tr>
    </w:tbl>
    <w:p/>
    <w:p>
      <w:pPr>
        <w:spacing w:before="44" w:after="14"/>
      </w:pPr>
      <w:r>
        <w:rPr>
          <w:b/>
          <w:bCs/>
          <w:color w:val="353A7C"/>
          <w:sz w:val="18"/>
          <w:szCs w:val="18"/>
        </w:rPr>
        <w:t xml:space="preserve">Summary 1</w:t>
      </w:r>
      <w:r>
        <w:rPr>
          <w:color w:val="6B7280"/>
          <w:sz w:val="16"/>
          <w:szCs w:val="16"/>
        </w:rPr>
        <w:t xml:space="preserve">      gaps 3–14</w:t>
      </w:r>
    </w:p>
    <w:p>
      <w:pPr>
        <w:spacing w:before="20" w:after="20" w:line="360" w:lineRule="auto"/>
        <w:ind w:left="200"/>
      </w:pPr>
      <w:r>
        <w:rPr>
          <w:sz w:val="19"/>
          <w:szCs w:val="19"/>
        </w:rPr>
        <w:t xml:space="preserve">Inventory means goods held for sale in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course of business, goods in production, and materials that will be used in production. </w:t>
      </w:r>
      <w:r>
        <w:rPr>
          <w:sz w:val="19"/>
          <w:szCs w:val="19"/>
        </w:rPr>
        <w:t xml:space="preserve">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such as Barada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Inc. has one inventory account. </w:t>
      </w:r>
      <w:r>
        <w:rPr>
          <w:sz w:val="19"/>
          <w:szCs w:val="19"/>
        </w:rPr>
        <w:t xml:space="preserve">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such as Orontes has three: raw materials, work in process and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goods. </w:t>
      </w:r>
      <w:r>
        <w:rPr>
          <w:sz w:val="19"/>
          <w:szCs w:val="19"/>
        </w:rPr>
        <w:t xml:space="preserve">The basic rule is simple: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the goods that the company controls on the balance sheet date,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they are. </w:t>
      </w:r>
      <w:r>
        <w:rPr>
          <w:sz w:val="19"/>
          <w:szCs w:val="19"/>
        </w:rPr>
        <w:t xml:space="preserve">Control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follows legal title. </w:t>
      </w:r>
      <w:r>
        <w:rPr>
          <w:sz w:val="19"/>
          <w:szCs w:val="19"/>
        </w:rPr>
        <w:t xml:space="preserve">Three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need care. </w:t>
      </w:r>
      <w:r>
        <w:rPr>
          <w:sz w:val="19"/>
          <w:szCs w:val="19"/>
        </w:rPr>
        <w:t xml:space="preserve">The shipping term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who controls goods that are on a truck or a ship at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w:t>
      </w:r>
      <w:r>
        <w:rPr>
          <w:sz w:val="19"/>
          <w:szCs w:val="19"/>
        </w:rPr>
        <w:t xml:space="preserve">Under FOB shipping point, control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to the buyer when the goods leave the seller, so the buyer includes them. </w:t>
      </w:r>
      <w:r>
        <w:rPr>
          <w:sz w:val="19"/>
          <w:szCs w:val="19"/>
        </w:rPr>
        <w:t xml:space="preserve">Under FOB destination, the seller keeps control until the goods arrive, so the seller includes them. </w:t>
      </w:r>
      <w:r>
        <w:rPr>
          <w:sz w:val="19"/>
          <w:szCs w:val="19"/>
        </w:rPr>
        <w:t xml:space="preserve">In a consignment, the consignor (the owner) gives goods to a consignee, who sells them for a commission.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wherever   ·   finished   ·   include   ·   decides   ·   retailer   ·   Wholesale   ·   ordinary   ·   usually   ·   year-end   ·   passes   ·   manufacturer   ·   follows   ·   situations</w:t>
            </w:r>
          </w:p>
        </w:tc>
      </w:tr>
    </w:tbl>
    <w:p/>
    <w:p>
      <w:pPr>
        <w:spacing w:before="44" w:after="14"/>
      </w:pPr>
      <w:r>
        <w:rPr>
          <w:b/>
          <w:bCs/>
          <w:color w:val="353A7C"/>
          <w:sz w:val="18"/>
          <w:szCs w:val="18"/>
        </w:rPr>
        <w:t xml:space="preserve">Summary 2</w:t>
      </w:r>
      <w:r>
        <w:rPr>
          <w:color w:val="6B7280"/>
          <w:sz w:val="16"/>
          <w:szCs w:val="16"/>
        </w:rPr>
        <w:t xml:space="preserve">      gaps 15–23</w:t>
      </w:r>
    </w:p>
    <w:p>
      <w:pPr>
        <w:spacing w:before="20" w:after="20" w:line="360" w:lineRule="auto"/>
        <w:ind w:left="200"/>
      </w:pPr>
      <w:r>
        <w:rPr>
          <w:sz w:val="19"/>
          <w:szCs w:val="19"/>
        </w:rPr>
        <w:t xml:space="preserve">The goods stay in the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inventory. </w:t>
      </w:r>
      <w:r>
        <w:rPr>
          <w:sz w:val="19"/>
          <w:szCs w:val="19"/>
        </w:rPr>
        <w:t xml:space="preserve">The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never includes them, even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they are in its shop. </w:t>
      </w:r>
      <w:r>
        <w:rPr>
          <w:sz w:val="19"/>
          <w:szCs w:val="19"/>
        </w:rPr>
        <w:t xml:space="preserve">Goods held for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w:t>
      </w:r>
      <w:r>
        <w:rPr>
          <w:sz w:val="19"/>
          <w:szCs w:val="19"/>
        </w:rPr>
        <w:t xml:space="preserve">Goods in the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that belong to another company must be taken out of the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count. </w:t>
      </w:r>
      <w:r>
        <w:rPr>
          <w:sz w:val="19"/>
          <w:szCs w:val="19"/>
        </w:rPr>
        <w:t xml:space="preserve">Goods the company owns that are held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else must be added. </w:t>
      </w:r>
      <w:r>
        <w:rPr>
          <w:sz w:val="19"/>
          <w:szCs w:val="19"/>
        </w:rPr>
        <w:t xml:space="preserve">Two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cases appear in later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w:t>
      </w:r>
      <w:r>
        <w:rPr>
          <w:sz w:val="19"/>
          <w:szCs w:val="19"/>
        </w:rPr>
        <w:t xml:space="preserve">When customers have a right of return, the seller records revenue net of expected returns and a separate asset for the goods it expects to get back. </w:t>
      </w:r>
      <w:r>
        <w:rPr>
          <w:sz w:val="19"/>
          <w:szCs w:val="19"/>
        </w:rPr>
        <w:t xml:space="preserve">In a bill-and-hold sale, the seller keeps the goods in its inventory unless strict conditions show that the buyer already controls them.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though   ·   transit   ·   chapters   ·   others   ·   physical   ·   somewhere   ·   special   ·   warehouse   ·   consignee   ·   consignor's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FOB flip</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24–26</w:t>
      </w:r>
    </w:p>
    <w:p>
      <w:pPr>
        <w:spacing w:before="20" w:after="20" w:line="360" w:lineRule="auto"/>
        <w:ind w:left="200"/>
      </w:pPr>
      <w:r>
        <w:rPr>
          <w:sz w:val="19"/>
          <w:szCs w:val="19"/>
        </w:rPr>
        <w:t xml:space="preserve">FOB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point: the BUYER includes goods in transit. </w:t>
      </w:r>
      <w:r>
        <w:rPr>
          <w:sz w:val="19"/>
          <w:szCs w:val="19"/>
        </w:rPr>
        <w:t xml:space="preserve">FOB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the SELLER includes them. </w:t>
      </w:r>
      <w:r>
        <w:rPr>
          <w:sz w:val="19"/>
          <w:szCs w:val="19"/>
        </w:rPr>
        <w:t xml:space="preserve">Many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reverse these. </w:t>
      </w:r>
      <w:r>
        <w:rPr>
          <w:sz w:val="19"/>
          <w:szCs w:val="19"/>
        </w:rPr>
        <w:t xml:space="preserve">The consignee never includes consigned goods, even when they are on its own shelves.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candidates   ·   destination   ·   shipping   ·   follows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FOB is not the Incoterm you know</w:t>
            </w:r>
          </w:p>
        </w:tc>
      </w:tr>
    </w:tbl>
    <w:p/>
    <w:p>
      <w:pPr>
        <w:spacing w:before="44" w:after="14"/>
      </w:pPr>
      <w:r>
        <w:rPr>
          <w:b/>
          <w:bCs/>
          <w:color w:val="353A7C"/>
          <w:sz w:val="18"/>
          <w:szCs w:val="18"/>
        </w:rPr>
        <w:t xml:space="preserve">Summary 4</w:t>
      </w:r>
      <w:r>
        <w:rPr>
          <w:color w:val="6B7280"/>
          <w:sz w:val="16"/>
          <w:szCs w:val="16"/>
        </w:rPr>
        <w:t xml:space="preserve">      gaps 27–30</w:t>
      </w:r>
    </w:p>
    <w:p>
      <w:pPr>
        <w:spacing w:before="20" w:after="20" w:line="360" w:lineRule="auto"/>
        <w:ind w:left="200"/>
      </w:pPr>
      <w:r>
        <w:rPr>
          <w:sz w:val="19"/>
          <w:szCs w:val="19"/>
        </w:rPr>
        <w:t xml:space="preserve">In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trade, FOB (free on board) is an Incoterm about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goods onto a ship. </w:t>
      </w:r>
      <w:r>
        <w:rPr>
          <w:sz w:val="19"/>
          <w:szCs w:val="19"/>
        </w:rPr>
        <w:t xml:space="preserve">In U.S. exam questions, FOB shipping point and FOB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are simple shipping terms that decide who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goods in transit, by truck, rail or sea. </w:t>
      </w:r>
      <w:r>
        <w:rPr>
          <w:sz w:val="19"/>
          <w:szCs w:val="19"/>
        </w:rPr>
        <w:t xml:space="preserve">Do not bring Incoterm rules into these questions.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controls   ·   consignee   ·   loading   ·   destination   ·   international</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7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9726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consignment   ·   inventory   ·   consignee   ·   consignor</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goods in transit</w:t>
            </w:r>
          </w:p>
        </w:tc>
        <w:tc>
          <w:tcPr>
            <w:tcW w:type="pct" w:w="2600"/>
            <w:tcMar>
              <w:top w:type="dxa" w:w="50"/>
              <w:left w:type="dxa" w:w="110"/>
              <w:bottom w:type="dxa" w:w="50"/>
              <w:right w:type="dxa" w:w="110"/>
            </w:tcMar>
          </w:tcPr>
          <w:p>
            <w:pPr>
              <w:spacing w:before="26" w:after="26"/>
            </w:pPr>
            <w:r>
              <w:rPr>
                <w:color w:val="232733"/>
                <w:sz w:val="16"/>
                <w:szCs w:val="16"/>
              </w:rPr>
              <w:t xml:space="preserve">بضاعة في الطريق</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FOB shipping point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التسليم عند نقطة الشحن</w:t>
            </w:r>
          </w:p>
        </w:tc>
      </w:tr>
      <w:tr>
        <w:tc>
          <w:tcPr>
            <w:tcW w:type="pct" w:w="2400"/>
            <w:tcMar>
              <w:top w:type="dxa" w:w="50"/>
              <w:left w:type="dxa" w:w="110"/>
              <w:bottom w:type="dxa" w:w="50"/>
              <w:right w:type="dxa" w:w="110"/>
            </w:tcMar>
          </w:tcPr>
          <w:p>
            <w:pPr>
              <w:spacing w:before="26" w:after="26"/>
            </w:pPr>
            <w:r>
              <w:rPr>
                <w:color w:val="232733"/>
                <w:sz w:val="16"/>
                <w:szCs w:val="16"/>
              </w:rPr>
              <w:t xml:space="preserve">FOB destination</w:t>
            </w:r>
          </w:p>
        </w:tc>
        <w:tc>
          <w:tcPr>
            <w:tcW w:type="pct" w:w="2600"/>
            <w:tcMar>
              <w:top w:type="dxa" w:w="50"/>
              <w:left w:type="dxa" w:w="110"/>
              <w:bottom w:type="dxa" w:w="50"/>
              <w:right w:type="dxa" w:w="110"/>
            </w:tcMar>
          </w:tcPr>
          <w:p>
            <w:pPr>
              <w:spacing w:before="26" w:after="26"/>
            </w:pPr>
            <w:r>
              <w:rPr>
                <w:color w:val="232733"/>
                <w:sz w:val="16"/>
                <w:szCs w:val="16"/>
              </w:rPr>
              <w:t xml:space="preserve">التسليم عند نقطة الوصول</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consignment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البضاعة بالأمانة</w:t>
            </w:r>
          </w:p>
        </w:tc>
      </w:tr>
      <w:tr>
        <w:tc>
          <w:tcPr>
            <w:tcW w:type="pct" w:w="2400"/>
            <w:tcMar>
              <w:top w:type="dxa" w:w="50"/>
              <w:left w:type="dxa" w:w="110"/>
              <w:bottom w:type="dxa" w:w="50"/>
              <w:right w:type="dxa" w:w="110"/>
            </w:tcMar>
          </w:tcPr>
          <w:p>
            <w:pPr>
              <w:spacing w:before="26" w:after="26"/>
            </w:pPr>
            <w:r>
              <w:rPr>
                <w:color w:val="232733"/>
                <w:sz w:val="16"/>
                <w:szCs w:val="16"/>
              </w:rPr>
              <w:t xml:space="preserve">consignor</w:t>
            </w:r>
          </w:p>
        </w:tc>
        <w:tc>
          <w:tcPr>
            <w:tcW w:type="pct" w:w="2600"/>
            <w:tcMar>
              <w:top w:type="dxa" w:w="50"/>
              <w:left w:type="dxa" w:w="110"/>
              <w:bottom w:type="dxa" w:w="50"/>
              <w:right w:type="dxa" w:w="110"/>
            </w:tcMar>
          </w:tcPr>
          <w:p>
            <w:pPr>
              <w:spacing w:before="26" w:after="26"/>
            </w:pPr>
            <w:r>
              <w:rPr>
                <w:color w:val="232733"/>
                <w:sz w:val="16"/>
                <w:szCs w:val="16"/>
              </w:rPr>
              <w:t xml:space="preserve">المُرسِل (مالك البضاعة بالأمانة)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consignee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المُرسَل إليه (الوكيل بالعمولة)</w:t>
            </w:r>
          </w:p>
        </w:tc>
      </w:tr>
      <w:tr>
        <w:tc>
          <w:tcPr>
            <w:tcW w:type="pct" w:w="2400"/>
            <w:tcMar>
              <w:top w:type="dxa" w:w="50"/>
              <w:left w:type="dxa" w:w="110"/>
              <w:bottom w:type="dxa" w:w="50"/>
              <w:right w:type="dxa" w:w="110"/>
            </w:tcMar>
          </w:tcPr>
          <w:p>
            <w:pPr>
              <w:spacing w:before="26" w:after="26"/>
            </w:pPr>
            <w:r>
              <w:rPr>
                <w:color w:val="232733"/>
                <w:sz w:val="16"/>
                <w:szCs w:val="16"/>
              </w:rPr>
              <w:t xml:space="preserve">physical count</w:t>
            </w:r>
          </w:p>
        </w:tc>
        <w:tc>
          <w:tcPr>
            <w:tcW w:type="pct" w:w="2600"/>
            <w:tcMar>
              <w:top w:type="dxa" w:w="50"/>
              <w:left w:type="dxa" w:w="110"/>
              <w:bottom w:type="dxa" w:w="50"/>
              <w:right w:type="dxa" w:w="110"/>
            </w:tcMar>
          </w:tcPr>
          <w:p>
            <w:pPr>
              <w:spacing w:before="26" w:after="26"/>
            </w:pPr>
            <w:r>
              <w:rPr>
                <w:color w:val="232733"/>
                <w:sz w:val="16"/>
                <w:szCs w:val="16"/>
              </w:rPr>
              <w:t xml:space="preserve">الجرد الفعلي</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7.1  Which goods belong in inventory?</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Cost flow assumptions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others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Inventory errors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warehouse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ordinary</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physical</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retailer</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somewhere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Wholesale</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special</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manufacturer</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chapters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finished</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shipping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include</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destination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wherever</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candidates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usually</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international</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situations</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loading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decides</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destination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year-end</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controls</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passes</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consignment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consignor's</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consignor</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consignee</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consignee</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though</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Inventory means goods held for sale in the ordinary course of business, goods in production, and materials that will be used in production. A retailer such as Barada Wholesale, Inc. has one inventory account. A manufacturer such as Orontes has three: raw materials, work in process and finished goods. The basic rule is simple: include the goods that the company controls on the balance sheet date, wherever they are. Control usually follows legal title. Three situations need care. The shipping term decides who controls goods that are on a truck or a ship at year-end. Under FOB shipping point, control passes to the buyer when the goods leave the seller, so the buyer includes them. Under FOB destination, the seller keeps control until the goods arrive, so the seller includes them. In a consignment, the consignor (the owner) gives goods to a consignee, who sells them for a commission.</w:t>
      </w:r>
    </w:p>
    <w:p>
      <w:pPr>
        <w:spacing w:before="20" w:after="20"/>
        <w:ind w:left="240" w:hanging="240"/>
      </w:pPr>
      <w:r>
        <w:rPr>
          <w:b/>
          <w:bCs/>
          <w:color w:val="353A7C"/>
          <w:sz w:val="15"/>
          <w:szCs w:val="15"/>
        </w:rPr>
        <w:t xml:space="preserve">Summary 2   </w:t>
      </w:r>
      <w:r>
        <w:rPr>
          <w:color w:val="6B7280"/>
          <w:sz w:val="15"/>
          <w:szCs w:val="15"/>
        </w:rPr>
        <w:t xml:space="preserve">The goods stay in the consignor's inventory. The consignee never includes them, even though they are in its shop. Goods held for others. Goods in the warehouse that belong to another company must be taken out of the physical count. Goods the company owns that are held somewhere else must be added. Two special cases appear in later chapters. When customers have a right of return, the seller records revenue net of expected returns and a separate asset for the goods it expects to get back. In a bill-and-hold sale, the seller keeps the goods in its inventory unless strict conditions show that the buyer already controls them.</w:t>
      </w:r>
    </w:p>
    <w:p>
      <w:pPr>
        <w:spacing w:before="20" w:after="20"/>
        <w:ind w:left="240" w:hanging="240"/>
      </w:pPr>
      <w:r>
        <w:rPr>
          <w:b/>
          <w:bCs/>
          <w:color w:val="353A7C"/>
          <w:sz w:val="15"/>
          <w:szCs w:val="15"/>
        </w:rPr>
        <w:t xml:space="preserve">Summary 3   </w:t>
      </w:r>
      <w:r>
        <w:rPr>
          <w:color w:val="6B7280"/>
          <w:sz w:val="15"/>
          <w:szCs w:val="15"/>
        </w:rPr>
        <w:t xml:space="preserve">FOB shipping point: the BUYER includes goods in transit. FOB destination: the SELLER includes them. Many candidates reverse these. The consignee never includes consigned goods, even when they are on its own shelves.</w:t>
      </w:r>
    </w:p>
    <w:p>
      <w:pPr>
        <w:spacing w:before="20" w:after="20"/>
        <w:ind w:left="240" w:hanging="240"/>
      </w:pPr>
      <w:r>
        <w:rPr>
          <w:b/>
          <w:bCs/>
          <w:color w:val="353A7C"/>
          <w:sz w:val="15"/>
          <w:szCs w:val="15"/>
        </w:rPr>
        <w:t xml:space="preserve">Summary 4   </w:t>
      </w:r>
      <w:r>
        <w:rPr>
          <w:color w:val="6B7280"/>
          <w:sz w:val="15"/>
          <w:szCs w:val="15"/>
        </w:rPr>
        <w:t xml:space="preserve">In international trade, FOB (free on board) is an Incoterm about loading goods onto a ship. In U.S. exam questions, FOB shipping point and FOB destination are simple shipping terms that decide who controls goods in transit, by truck, rail or sea. Do not bring Incoterm rules into these questions.</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7.2  Which costs belong in inventory?</w:t>
            </w:r>
          </w:p>
          <w:p>
            <w:pPr>
              <w:spacing w:before="0" w:after="46"/>
            </w:pPr>
            <w:r>
              <w:rPr>
                <w:color w:val="E8EAF6"/>
                <w:sz w:val="16"/>
                <w:szCs w:val="16"/>
              </w:rPr>
              <w:t xml:space="preserve">Chapter 7 · section 7.2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Inventory is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at cost. </w:t>
      </w:r>
      <w:r>
        <w:rPr>
          <w:sz w:val="19"/>
          <w:szCs w:val="19"/>
        </w:rPr>
        <w:t xml:space="preserve">Cost means all the costs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to bring the goods to their present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and location. </w:t>
      </w:r>
      <w:r>
        <w:rPr>
          <w:sz w:val="19"/>
          <w:szCs w:val="19"/>
        </w:rPr>
        <w:t xml:space="preserve">These are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costs: they stay in inventory as an asset, and they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cost of goods sold when the goods are sold. </w:t>
      </w:r>
      <w:r>
        <w:rPr>
          <w:sz w:val="19"/>
          <w:szCs w:val="19"/>
        </w:rPr>
        <w:t xml:space="preserve">Other costs are period costs: they are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in the period in which they occur. </w:t>
      </w:r>
      <w:r>
        <w:rPr>
          <w:sz w:val="19"/>
          <w:szCs w:val="19"/>
        </w:rPr>
        <w:t xml:space="preserve">For goods that are bought, cost includes the purchase price,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import duties,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taxes and handling, less trade discounts and any purchase discount taken for early payment. </w:t>
      </w:r>
      <w:r>
        <w:rPr>
          <w:sz w:val="19"/>
          <w:szCs w:val="19"/>
        </w:rPr>
        <w:t xml:space="preserve">For goods that are made, cost also includes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labor and production overhead. </w:t>
      </w:r>
      <w:r>
        <w:rPr>
          <w:sz w:val="19"/>
          <w:szCs w:val="19"/>
        </w:rPr>
        <w:t xml:space="preserve">Fixed production overhead needs care. </w:t>
      </w:r>
      <w:r>
        <w:rPr>
          <w:sz w:val="19"/>
          <w:szCs w:val="19"/>
        </w:rPr>
        <w:t xml:space="preserve">It is allocated to units on the basis of normal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the output the plant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on average over several periods. </w:t>
      </w:r>
      <w:r>
        <w:rPr>
          <w:sz w:val="19"/>
          <w:szCs w:val="19"/>
        </w:rPr>
        <w:t xml:space="preserve">If output is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low, the fixed overhead that is not allocated is an expense of the period. </w:t>
      </w:r>
      <w:r>
        <w:rPr>
          <w:sz w:val="19"/>
          <w:szCs w:val="19"/>
        </w:rPr>
        <w:t xml:space="preserve">It is not added to inventory.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inventoriable   ·   needed   ·   freight-in   ·   expects   ·   direct   ·   recorded   ·   condition   ·   become   ·   capacity   ·   unusually   ·   freight-out   ·   expenses   ·   non-refundable</w:t>
            </w:r>
          </w:p>
        </w:tc>
      </w:tr>
    </w:tbl>
    <w:p/>
    <w:p>
      <w:pPr>
        <w:spacing w:before="44" w:after="14"/>
      </w:pPr>
      <w:r>
        <w:rPr>
          <w:b/>
          <w:bCs/>
          <w:color w:val="353A7C"/>
          <w:sz w:val="18"/>
          <w:szCs w:val="18"/>
        </w:rPr>
        <w:t xml:space="preserve">Summary 2</w:t>
      </w:r>
      <w:r>
        <w:rPr>
          <w:color w:val="6B7280"/>
          <w:sz w:val="16"/>
          <w:szCs w:val="16"/>
        </w:rPr>
        <w:t xml:space="preserve">      gaps 13–16</w:t>
      </w:r>
    </w:p>
    <w:p>
      <w:pPr>
        <w:spacing w:before="20" w:after="20" w:line="360" w:lineRule="auto"/>
        <w:ind w:left="200"/>
      </w:pPr>
      <w:r>
        <w:rPr>
          <w:sz w:val="19"/>
          <w:szCs w:val="19"/>
        </w:rPr>
        <w:t xml:space="preserve">In the same way,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waste (unusual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idle time or extra freight) is an expense, not inventory cost. </w:t>
      </w:r>
      <w:r>
        <w:rPr>
          <w:sz w:val="19"/>
          <w:szCs w:val="19"/>
        </w:rPr>
        <w:t xml:space="preserve">Period costs include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to customers, sales commissions, advertising, general and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costs, and the storage of finished goods. </w:t>
      </w:r>
      <w:r>
        <w:rPr>
          <w:sz w:val="19"/>
          <w:szCs w:val="19"/>
        </w:rPr>
        <w:t xml:space="preserve">Interest on inventory that is produced routinely is also a period cost.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abnormal   ·   spoilage   ·   administrative   ·   freight-out   ·   include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cost of imported glass bottles</w:t>
            </w:r>
          </w:p>
        </w:tc>
      </w:tr>
    </w:tbl>
    <w:p/>
    <w:p>
      <w:pPr>
        <w:spacing w:before="44" w:after="14"/>
      </w:pPr>
      <w:r>
        <w:rPr>
          <w:b/>
          <w:bCs/>
          <w:color w:val="353A7C"/>
          <w:sz w:val="18"/>
          <w:szCs w:val="18"/>
        </w:rPr>
        <w:t xml:space="preserve">Summary 3</w:t>
      </w:r>
      <w:r>
        <w:rPr>
          <w:color w:val="6B7280"/>
          <w:sz w:val="16"/>
          <w:szCs w:val="16"/>
        </w:rPr>
        <w:t xml:space="preserve">      gaps 17–18</w:t>
      </w:r>
    </w:p>
    <w:p>
      <w:pPr>
        <w:spacing w:before="20" w:after="20" w:line="360" w:lineRule="auto"/>
        <w:ind w:left="200"/>
      </w:pPr>
      <w:r>
        <w:rPr>
          <w:sz w:val="19"/>
          <w:szCs w:val="19"/>
        </w:rPr>
        <w:t xml:space="preserve">Orontes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glass bottles for its Amman plant. </w:t>
      </w:r>
      <w:r>
        <w:rPr>
          <w:sz w:val="19"/>
          <w:szCs w:val="19"/>
        </w:rPr>
        <w:t xml:space="preserve">The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is $20,000, and Orontes pays within the discount period, so it takes a 2% discount.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imports   ·   average   ·   invoice</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1455"/>
        <w:gridCol w:w="392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The cost of imported glass bottles</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Amount</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Inventory cost?</w:t>
            </w:r>
          </w:p>
        </w:tc>
      </w:tr>
      <w:tr>
        <w:tc>
          <w:tcPr>
            <w:tcW w:type="pct" w:w="2200"/>
            <w:tcMar>
              <w:top w:type="dxa" w:w="50"/>
              <w:left w:type="dxa" w:w="110"/>
              <w:bottom w:type="dxa" w:w="50"/>
              <w:right w:type="dxa" w:w="110"/>
            </w:tcMar>
          </w:tcPr>
          <w:p>
            <w:pPr>
              <w:spacing w:before="28" w:after="28"/>
            </w:pPr>
            <w:r>
              <w:rPr>
                <w:sz w:val="15"/>
                <w:szCs w:val="15"/>
              </w:rPr>
              <w:t xml:space="preserve">Invoice price</w:t>
            </w:r>
          </w:p>
        </w:tc>
        <w:tc>
          <w:tcPr>
            <w:tcW w:type="pct" w:w="758"/>
            <w:tcMar>
              <w:top w:type="dxa" w:w="50"/>
              <w:left w:type="dxa" w:w="110"/>
              <w:bottom w:type="dxa" w:w="50"/>
              <w:right w:type="dxa" w:w="110"/>
            </w:tcMar>
          </w:tcPr>
          <w:p>
            <w:pPr>
              <w:spacing w:before="28" w:after="28"/>
            </w:pPr>
            <w:r>
              <w:rPr>
                <w:sz w:val="15"/>
                <w:szCs w:val="15"/>
              </w:rPr>
              <w:t xml:space="preserve">20,000</w:t>
            </w:r>
          </w:p>
        </w:tc>
        <w:tc>
          <w:tcPr>
            <w:tcW w:type="pct" w:w="2042"/>
            <w:tcMar>
              <w:top w:type="dxa" w:w="50"/>
              <w:left w:type="dxa" w:w="110"/>
              <w:bottom w:type="dxa" w:w="50"/>
              <w:right w:type="dxa" w:w="110"/>
            </w:tcMar>
          </w:tcPr>
          <w:p>
            <w:pPr>
              <w:spacing w:before="28" w:after="28"/>
            </w:pPr>
            <w:r>
              <w:rPr>
                <w:sz w:val="15"/>
                <w:szCs w:val="15"/>
              </w:rPr>
              <w:t xml:space="preserve">Yes</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Purchase discount taken</w:t>
            </w:r>
          </w:p>
        </w:tc>
        <w:tc>
          <w:tcPr>
            <w:tcW w:type="pct" w:w="758"/>
            <w:shd w:fill="FBFAF6" w:val="clear"/>
            <w:tcMar>
              <w:top w:type="dxa" w:w="50"/>
              <w:left w:type="dxa" w:w="110"/>
              <w:bottom w:type="dxa" w:w="50"/>
              <w:right w:type="dxa" w:w="110"/>
            </w:tcMar>
          </w:tcPr>
          <w:p>
            <w:pPr>
              <w:spacing w:before="28" w:after="28"/>
            </w:pPr>
            <w:r>
              <w:rPr>
                <w:sz w:val="15"/>
                <w:szCs w:val="15"/>
              </w:rPr>
              <w:t xml:space="preserve">(400)</w:t>
            </w:r>
          </w:p>
        </w:tc>
        <w:tc>
          <w:tcPr>
            <w:tcW w:type="pct" w:w="2042"/>
            <w:shd w:fill="FBFAF6" w:val="clear"/>
            <w:tcMar>
              <w:top w:type="dxa" w:w="50"/>
              <w:left w:type="dxa" w:w="110"/>
              <w:bottom w:type="dxa" w:w="50"/>
              <w:right w:type="dxa" w:w="110"/>
            </w:tcMar>
          </w:tcPr>
          <w:p>
            <w:pPr>
              <w:spacing w:before="28" w:after="28"/>
            </w:pPr>
            <w:r>
              <w:rPr>
                <w:sz w:val="15"/>
                <w:szCs w:val="15"/>
              </w:rPr>
              <w:t xml:space="preserve">Yes (</w:t>
            </w:r>
            <w:r>
              <w:rPr>
                <w:b/>
                <w:bCs/>
                <w:color w:val="8186EF"/>
                <w:sz w:val="14"/>
                <w:szCs w:val="14"/>
              </w:rPr>
              <w:t xml:space="preserve"> (19) </w:t>
            </w:r>
            <w:r>
              <w:rPr>
                <w:u w:val="single"/>
                <w:sz w:val="15"/>
                <w:szCs w:val="15"/>
              </w:rPr>
              <w:t xml:space="preserve">              </w:t>
            </w:r>
            <w:r>
              <w:rPr>
                <w:sz w:val="15"/>
                <w:szCs w:val="15"/>
              </w:rPr>
              <w:t xml:space="preserve"> </w:t>
            </w:r>
            <w:r>
              <w:rPr>
                <w:sz w:val="15"/>
                <w:szCs w:val="15"/>
              </w:rPr>
              <w:t xml:space="preserve"> cost)</w:t>
            </w:r>
          </w:p>
        </w:tc>
      </w:tr>
      <w:tr>
        <w:tc>
          <w:tcPr>
            <w:tcW w:type="pct" w:w="2200"/>
            <w:tcMar>
              <w:top w:type="dxa" w:w="50"/>
              <w:left w:type="dxa" w:w="110"/>
              <w:bottom w:type="dxa" w:w="50"/>
              <w:right w:type="dxa" w:w="110"/>
            </w:tcMar>
          </w:tcPr>
          <w:p>
            <w:pPr>
              <w:spacing w:before="28" w:after="28"/>
            </w:pPr>
            <w:r>
              <w:rPr>
                <w:sz w:val="15"/>
                <w:szCs w:val="15"/>
              </w:rPr>
              <w:t xml:space="preserve">Freight-in from the port to Amman</w:t>
            </w:r>
          </w:p>
        </w:tc>
        <w:tc>
          <w:tcPr>
            <w:tcW w:type="pct" w:w="758"/>
            <w:tcMar>
              <w:top w:type="dxa" w:w="50"/>
              <w:left w:type="dxa" w:w="110"/>
              <w:bottom w:type="dxa" w:w="50"/>
              <w:right w:type="dxa" w:w="110"/>
            </w:tcMar>
          </w:tcPr>
          <w:p>
            <w:pPr>
              <w:spacing w:before="28" w:after="28"/>
            </w:pPr>
            <w:r>
              <w:rPr>
                <w:sz w:val="15"/>
                <w:szCs w:val="15"/>
              </w:rPr>
              <w:t xml:space="preserve">1,200</w:t>
            </w:r>
          </w:p>
        </w:tc>
        <w:tc>
          <w:tcPr>
            <w:tcW w:type="pct" w:w="2042"/>
            <w:tcMar>
              <w:top w:type="dxa" w:w="50"/>
              <w:left w:type="dxa" w:w="110"/>
              <w:bottom w:type="dxa" w:w="50"/>
              <w:right w:type="dxa" w:w="110"/>
            </w:tcMar>
          </w:tcPr>
          <w:p>
            <w:pPr>
              <w:spacing w:before="28" w:after="28"/>
            </w:pPr>
            <w:r>
              <w:rPr>
                <w:sz w:val="15"/>
                <w:szCs w:val="15"/>
              </w:rPr>
              <w:t xml:space="preserve">Yes</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Import duty (not refundable)</w:t>
            </w:r>
          </w:p>
        </w:tc>
        <w:tc>
          <w:tcPr>
            <w:tcW w:type="pct" w:w="758"/>
            <w:shd w:fill="FBFAF6" w:val="clear"/>
            <w:tcMar>
              <w:top w:type="dxa" w:w="50"/>
              <w:left w:type="dxa" w:w="110"/>
              <w:bottom w:type="dxa" w:w="50"/>
              <w:right w:type="dxa" w:w="110"/>
            </w:tcMar>
          </w:tcPr>
          <w:p>
            <w:pPr>
              <w:spacing w:before="28" w:after="28"/>
            </w:pPr>
            <w:r>
              <w:rPr>
                <w:sz w:val="15"/>
                <w:szCs w:val="15"/>
              </w:rPr>
              <w:t xml:space="preserve">900</w:t>
            </w:r>
          </w:p>
        </w:tc>
        <w:tc>
          <w:tcPr>
            <w:tcW w:type="pct" w:w="2042"/>
            <w:shd w:fill="FBFAF6" w:val="clear"/>
            <w:tcMar>
              <w:top w:type="dxa" w:w="50"/>
              <w:left w:type="dxa" w:w="110"/>
              <w:bottom w:type="dxa" w:w="50"/>
              <w:right w:type="dxa" w:w="110"/>
            </w:tcMar>
          </w:tcPr>
          <w:p>
            <w:pPr>
              <w:spacing w:before="28" w:after="28"/>
            </w:pPr>
            <w:r>
              <w:rPr>
                <w:sz w:val="15"/>
                <w:szCs w:val="15"/>
              </w:rPr>
              <w:t xml:space="preserve">Yes</w:t>
            </w:r>
          </w:p>
        </w:tc>
      </w:tr>
      <w:tr>
        <w:tc>
          <w:tcPr>
            <w:tcW w:type="pct" w:w="2200"/>
            <w:tcMar>
              <w:top w:type="dxa" w:w="50"/>
              <w:left w:type="dxa" w:w="110"/>
              <w:bottom w:type="dxa" w:w="50"/>
              <w:right w:type="dxa" w:w="110"/>
            </w:tcMar>
          </w:tcPr>
          <w:p>
            <w:pPr>
              <w:spacing w:before="28" w:after="28"/>
            </w:pPr>
            <w:r>
              <w:rPr>
                <w:sz w:val="15"/>
                <w:szCs w:val="15"/>
              </w:rPr>
              <w:t xml:space="preserve">Insurance while the bottles are in transit</w:t>
            </w:r>
          </w:p>
        </w:tc>
        <w:tc>
          <w:tcPr>
            <w:tcW w:type="pct" w:w="758"/>
            <w:tcMar>
              <w:top w:type="dxa" w:w="50"/>
              <w:left w:type="dxa" w:w="110"/>
              <w:bottom w:type="dxa" w:w="50"/>
              <w:right w:type="dxa" w:w="110"/>
            </w:tcMar>
          </w:tcPr>
          <w:p>
            <w:pPr>
              <w:spacing w:before="28" w:after="28"/>
            </w:pPr>
            <w:r>
              <w:rPr>
                <w:sz w:val="15"/>
                <w:szCs w:val="15"/>
              </w:rPr>
              <w:t xml:space="preserve">300</w:t>
            </w:r>
          </w:p>
        </w:tc>
        <w:tc>
          <w:tcPr>
            <w:tcW w:type="pct" w:w="2042"/>
            <w:tcMar>
              <w:top w:type="dxa" w:w="50"/>
              <w:left w:type="dxa" w:w="110"/>
              <w:bottom w:type="dxa" w:w="50"/>
              <w:right w:type="dxa" w:w="110"/>
            </w:tcMar>
          </w:tcPr>
          <w:p>
            <w:pPr>
              <w:spacing w:before="28" w:after="28"/>
            </w:pPr>
            <w:r>
              <w:rPr>
                <w:sz w:val="15"/>
                <w:szCs w:val="15"/>
              </w:rPr>
              <w:t xml:space="preserve">Yes</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Freight-out when filled bottles go to customers</w:t>
            </w:r>
          </w:p>
        </w:tc>
        <w:tc>
          <w:tcPr>
            <w:tcW w:type="pct" w:w="758"/>
            <w:shd w:fill="FBFAF6" w:val="clear"/>
            <w:tcMar>
              <w:top w:type="dxa" w:w="50"/>
              <w:left w:type="dxa" w:w="110"/>
              <w:bottom w:type="dxa" w:w="50"/>
              <w:right w:type="dxa" w:w="110"/>
            </w:tcMar>
          </w:tcPr>
          <w:p>
            <w:pPr>
              <w:spacing w:before="28" w:after="28"/>
            </w:pPr>
            <w:r>
              <w:rPr>
                <w:sz w:val="15"/>
                <w:szCs w:val="15"/>
              </w:rPr>
              <w:t xml:space="preserve">700</w:t>
            </w:r>
          </w:p>
        </w:tc>
        <w:tc>
          <w:tcPr>
            <w:tcW w:type="pct" w:w="2042"/>
            <w:shd w:fill="FBFAF6" w:val="clear"/>
            <w:tcMar>
              <w:top w:type="dxa" w:w="50"/>
              <w:left w:type="dxa" w:w="110"/>
              <w:bottom w:type="dxa" w:w="50"/>
              <w:right w:type="dxa" w:w="110"/>
            </w:tcMar>
          </w:tcPr>
          <w:p>
            <w:pPr>
              <w:spacing w:before="28" w:after="28"/>
            </w:pPr>
            <w:r>
              <w:rPr>
                <w:sz w:val="15"/>
                <w:szCs w:val="15"/>
              </w:rPr>
              <w:t xml:space="preserve">No: selling expense</w:t>
            </w:r>
          </w:p>
        </w:tc>
      </w:tr>
      <w:tr>
        <w:tc>
          <w:tcPr>
            <w:tcW w:type="pct" w:w="2200"/>
            <w:tcMar>
              <w:top w:type="dxa" w:w="50"/>
              <w:left w:type="dxa" w:w="110"/>
              <w:bottom w:type="dxa" w:w="50"/>
              <w:right w:type="dxa" w:w="110"/>
            </w:tcMar>
          </w:tcPr>
          <w:p>
            <w:pPr>
              <w:spacing w:before="28" w:after="28"/>
            </w:pPr>
            <w:r>
              <w:rPr>
                <w:sz w:val="15"/>
                <w:szCs w:val="15"/>
              </w:rPr>
              <w:t xml:space="preserve">Storage of finished olive oil</w:t>
            </w:r>
          </w:p>
        </w:tc>
        <w:tc>
          <w:tcPr>
            <w:tcW w:type="pct" w:w="758"/>
            <w:tcMar>
              <w:top w:type="dxa" w:w="50"/>
              <w:left w:type="dxa" w:w="110"/>
              <w:bottom w:type="dxa" w:w="50"/>
              <w:right w:type="dxa" w:w="110"/>
            </w:tcMar>
          </w:tcPr>
          <w:p>
            <w:pPr>
              <w:spacing w:before="28" w:after="28"/>
            </w:pPr>
            <w:r>
              <w:rPr>
                <w:sz w:val="15"/>
                <w:szCs w:val="15"/>
              </w:rPr>
              <w:t xml:space="preserve">250</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(20)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Cost of the bottles in inventory</w:t>
            </w:r>
          </w:p>
        </w:tc>
        <w:tc>
          <w:tcPr>
            <w:tcW w:type="pct" w:w="758"/>
            <w:shd w:fill="FBFAF6" w:val="clear"/>
            <w:tcMar>
              <w:top w:type="dxa" w:w="50"/>
              <w:left w:type="dxa" w:w="110"/>
              <w:bottom w:type="dxa" w:w="50"/>
              <w:right w:type="dxa" w:w="110"/>
            </w:tcMar>
          </w:tcPr>
          <w:p>
            <w:pPr>
              <w:spacing w:before="28" w:after="28"/>
            </w:pPr>
            <w:r>
              <w:rPr>
                <w:sz w:val="15"/>
                <w:szCs w:val="15"/>
              </w:rPr>
              <w:t xml:space="preserve">22,000</w:t>
            </w:r>
          </w:p>
        </w:tc>
        <w:tc>
          <w:tcPr>
            <w:tcW w:type="pct" w:w="2042"/>
            <w:shd w:fill="FBFAF6" w:val="clear"/>
            <w:tcMar>
              <w:top w:type="dxa" w:w="50"/>
              <w:left w:type="dxa" w:w="110"/>
              <w:bottom w:type="dxa" w:w="50"/>
              <w:right w:type="dxa" w:w="110"/>
            </w:tcMar>
          </w:tcPr>
          <w:p>
            <w:pPr>
              <w:spacing w:before="28" w:after="28"/>
            </w:pPr>
            <w:r>
              <w:rPr>
                <w:sz w:val="15"/>
                <w:szCs w:val="15"/>
              </w:rPr>
              <w:t xml:space="preserve"> </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consignor   ·   No: period cost   ·   reduces</w:t>
            </w:r>
          </w:p>
        </w:tc>
      </w:tr>
    </w:tbl>
    <w:p/>
    <w:p>
      <w:pPr>
        <w:spacing w:before="44" w:after="14"/>
      </w:pPr>
      <w:r>
        <w:rPr>
          <w:b/>
          <w:bCs/>
          <w:color w:val="353A7C"/>
          <w:sz w:val="18"/>
          <w:szCs w:val="18"/>
        </w:rPr>
        <w:t xml:space="preserve">Summary 4</w:t>
      </w:r>
      <w:r>
        <w:rPr>
          <w:color w:val="6B7280"/>
          <w:sz w:val="16"/>
          <w:szCs w:val="16"/>
        </w:rPr>
        <w:t xml:space="preserve">      gaps 21–26</w:t>
      </w:r>
    </w:p>
    <w:p>
      <w:pPr>
        <w:spacing w:before="20" w:after="20" w:line="360" w:lineRule="auto"/>
        <w:ind w:left="200"/>
      </w:pPr>
      <w:r>
        <w:rPr>
          <w:sz w:val="19"/>
          <w:szCs w:val="19"/>
        </w:rPr>
        <w:t xml:space="preserve">The two costs at the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of the table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after the goods are ready for use. </w:t>
      </w:r>
      <w:r>
        <w:rPr>
          <w:sz w:val="19"/>
          <w:szCs w:val="19"/>
        </w:rPr>
        <w:t xml:space="preserve">They do not bring the bottles to their present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and location, so they are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w:t>
      </w:r>
      <w:r>
        <w:rPr>
          <w:sz w:val="19"/>
          <w:szCs w:val="19"/>
        </w:rPr>
        <w:t xml:space="preserve">IAS 2 uses the same idea of cost and lists the same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abnormal waste, storage,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overheads and selling costs. </w:t>
      </w:r>
      <w:r>
        <w:rPr>
          <w:sz w:val="19"/>
          <w:szCs w:val="19"/>
        </w:rPr>
        <w:t xml:space="preserve">The big IFRS difference is in the next section: IAS 2 does not allow LIFO.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expenses   ·   condition   ·   administrative   ·   exclusions   ·   include   ·   bottom   ·   happen</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7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9726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abnormal waste   ·   purchase discount   ·   freight-in   ·   inventory</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freight-in</w:t>
            </w:r>
          </w:p>
        </w:tc>
        <w:tc>
          <w:tcPr>
            <w:tcW w:type="pct" w:w="2600"/>
            <w:tcMar>
              <w:top w:type="dxa" w:w="50"/>
              <w:left w:type="dxa" w:w="110"/>
              <w:bottom w:type="dxa" w:w="50"/>
              <w:right w:type="dxa" w:w="110"/>
            </w:tcMar>
          </w:tcPr>
          <w:p>
            <w:pPr>
              <w:spacing w:before="26" w:after="26"/>
            </w:pPr>
            <w:r>
              <w:rPr>
                <w:color w:val="232733"/>
                <w:sz w:val="16"/>
                <w:szCs w:val="16"/>
              </w:rPr>
              <w:t xml:space="preserve">مصاريف نقل المشتريات</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freight-out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مصاريف نقل المبيعات</w:t>
            </w:r>
          </w:p>
        </w:tc>
      </w:tr>
      <w:tr>
        <w:tc>
          <w:tcPr>
            <w:tcW w:type="pct" w:w="2400"/>
            <w:tcMar>
              <w:top w:type="dxa" w:w="50"/>
              <w:left w:type="dxa" w:w="110"/>
              <w:bottom w:type="dxa" w:w="50"/>
              <w:right w:type="dxa" w:w="110"/>
            </w:tcMar>
          </w:tcPr>
          <w:p>
            <w:pPr>
              <w:spacing w:before="26" w:after="26"/>
            </w:pPr>
            <w:r>
              <w:rPr>
                <w:color w:val="232733"/>
                <w:sz w:val="16"/>
                <w:szCs w:val="16"/>
              </w:rPr>
              <w:t xml:space="preserve">purchase discount</w:t>
            </w:r>
          </w:p>
        </w:tc>
        <w:tc>
          <w:tcPr>
            <w:tcW w:type="pct" w:w="2600"/>
            <w:tcMar>
              <w:top w:type="dxa" w:w="50"/>
              <w:left w:type="dxa" w:w="110"/>
              <w:bottom w:type="dxa" w:w="50"/>
              <w:right w:type="dxa" w:w="110"/>
            </w:tcMar>
          </w:tcPr>
          <w:p>
            <w:pPr>
              <w:spacing w:before="26" w:after="26"/>
            </w:pPr>
            <w:r>
              <w:rPr>
                <w:color w:val="232733"/>
                <w:sz w:val="16"/>
                <w:szCs w:val="16"/>
              </w:rPr>
              <w:t xml:space="preserve">خصم المشتريات (خصم نقدي)</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normal capacity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الطاقة العادية</w:t>
            </w:r>
          </w:p>
        </w:tc>
      </w:tr>
      <w:tr>
        <w:tc>
          <w:tcPr>
            <w:tcW w:type="pct" w:w="2400"/>
            <w:tcMar>
              <w:top w:type="dxa" w:w="50"/>
              <w:left w:type="dxa" w:w="110"/>
              <w:bottom w:type="dxa" w:w="50"/>
              <w:right w:type="dxa" w:w="110"/>
            </w:tcMar>
          </w:tcPr>
          <w:p>
            <w:pPr>
              <w:spacing w:before="26" w:after="26"/>
            </w:pPr>
            <w:r>
              <w:rPr>
                <w:color w:val="232733"/>
                <w:sz w:val="16"/>
                <w:szCs w:val="16"/>
              </w:rPr>
              <w:t xml:space="preserve">abnormal waste</w:t>
            </w:r>
          </w:p>
        </w:tc>
        <w:tc>
          <w:tcPr>
            <w:tcW w:type="pct" w:w="2600"/>
            <w:tcMar>
              <w:top w:type="dxa" w:w="50"/>
              <w:left w:type="dxa" w:w="110"/>
              <w:bottom w:type="dxa" w:w="50"/>
              <w:right w:type="dxa" w:w="110"/>
            </w:tcMar>
          </w:tcPr>
          <w:p>
            <w:pPr>
              <w:spacing w:before="26" w:after="26"/>
            </w:pPr>
            <w:r>
              <w:rPr>
                <w:color w:val="232733"/>
                <w:sz w:val="16"/>
                <w:szCs w:val="16"/>
              </w:rPr>
              <w:t xml:space="preserve">التلف غير العادي</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inventoriable cost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تكلفة قابلة للتحميل على المخزون</w:t>
            </w:r>
          </w:p>
        </w:tc>
      </w:tr>
      <w:tr>
        <w:tc>
          <w:tcPr>
            <w:tcW w:type="pct" w:w="2400"/>
            <w:tcMar>
              <w:top w:type="dxa" w:w="50"/>
              <w:left w:type="dxa" w:w="110"/>
              <w:bottom w:type="dxa" w:w="50"/>
              <w:right w:type="dxa" w:w="110"/>
            </w:tcMar>
          </w:tcPr>
          <w:p>
            <w:pPr>
              <w:spacing w:before="26" w:after="26"/>
            </w:pPr>
            <w:r>
              <w:rPr>
                <w:color w:val="232733"/>
                <w:sz w:val="16"/>
                <w:szCs w:val="16"/>
              </w:rPr>
              <w:t xml:space="preserve">period cost</w:t>
            </w:r>
          </w:p>
        </w:tc>
        <w:tc>
          <w:tcPr>
            <w:tcW w:type="pct" w:w="2600"/>
            <w:tcMar>
              <w:top w:type="dxa" w:w="50"/>
              <w:left w:type="dxa" w:w="110"/>
              <w:bottom w:type="dxa" w:w="50"/>
              <w:right w:type="dxa" w:w="110"/>
            </w:tcMar>
          </w:tcPr>
          <w:p>
            <w:pPr>
              <w:spacing w:before="26" w:after="26"/>
            </w:pPr>
            <w:r>
              <w:rPr>
                <w:color w:val="232733"/>
                <w:sz w:val="16"/>
                <w:szCs w:val="16"/>
              </w:rPr>
              <w:t xml:space="preserve">تكلفة الفترة</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7.2  Which costs belong in inventory?</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recorded</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administrative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needed</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imports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condition</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invoice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inventoriable</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reduces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become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No: period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expenses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bottom</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freight-in</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happen</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non-refundable</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condition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direct</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expenses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capacity</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exclusions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expects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administrative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unusually</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freight-in</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abnormal</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purchase discount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spoilage</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abnormal waste</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freight-out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Inventory is recorded at cost. Cost means all the costs needed to bring the goods to their present condition and location. These are inventoriable costs: they stay in inventory as an asset, and they become cost of goods sold when the goods are sold. Other costs are period costs: they are expenses in the period in which they occur. For goods that are bought, cost includes the purchase price, freight-in, import duties, non-refundable taxes and handling, less trade discounts and any purchase discount taken for early payment. For goods that are made, cost also includes direct labor and production overhead. Fixed production overhead needs care. It is allocated to units on the basis of normal capacity: the output the plant expects on average over several periods. If output is unusually low, the fixed overhead that is not allocated is an expense of the period. It is not added to inventory.</w:t>
      </w:r>
    </w:p>
    <w:p>
      <w:pPr>
        <w:spacing w:before="20" w:after="20"/>
        <w:ind w:left="240" w:hanging="240"/>
      </w:pPr>
      <w:r>
        <w:rPr>
          <w:b/>
          <w:bCs/>
          <w:color w:val="353A7C"/>
          <w:sz w:val="15"/>
          <w:szCs w:val="15"/>
        </w:rPr>
        <w:t xml:space="preserve">Summary 2   </w:t>
      </w:r>
      <w:r>
        <w:rPr>
          <w:color w:val="6B7280"/>
          <w:sz w:val="15"/>
          <w:szCs w:val="15"/>
        </w:rPr>
        <w:t xml:space="preserve">In the same way, abnormal waste (unusual spoilage, idle time or extra freight) is an expense, not inventory cost. Period costs include freight-out to customers, sales commissions, advertising, general and administrative costs, and the storage of finished goods. Interest on inventory that is produced routinely is also a period cost.</w:t>
      </w:r>
    </w:p>
    <w:p>
      <w:pPr>
        <w:spacing w:before="20" w:after="20"/>
        <w:ind w:left="240" w:hanging="240"/>
      </w:pPr>
      <w:r>
        <w:rPr>
          <w:b/>
          <w:bCs/>
          <w:color w:val="353A7C"/>
          <w:sz w:val="15"/>
          <w:szCs w:val="15"/>
        </w:rPr>
        <w:t xml:space="preserve">Summary 3   </w:t>
      </w:r>
      <w:r>
        <w:rPr>
          <w:color w:val="6B7280"/>
          <w:sz w:val="15"/>
          <w:szCs w:val="15"/>
        </w:rPr>
        <w:t xml:space="preserve">Orontes imports glass bottles for its Amman plant. The invoice is $20,000, and Orontes pays within the discount period, so it takes a 2% discount.</w:t>
      </w:r>
    </w:p>
    <w:p>
      <w:pPr>
        <w:spacing w:before="20" w:after="20"/>
        <w:ind w:left="240" w:hanging="240"/>
      </w:pPr>
      <w:r>
        <w:rPr>
          <w:b/>
          <w:bCs/>
          <w:color w:val="353A7C"/>
          <w:sz w:val="15"/>
          <w:szCs w:val="15"/>
        </w:rPr>
        <w:t xml:space="preserve">Summary 4   </w:t>
      </w:r>
      <w:r>
        <w:rPr>
          <w:color w:val="6B7280"/>
          <w:sz w:val="15"/>
          <w:szCs w:val="15"/>
        </w:rPr>
        <w:t xml:space="preserve">The two costs at the bottom of the table happen after the goods are ready for use. They do not bring the bottles to their present condition and location, so they are expenses. IAS 2 uses the same idea of cost and lists the same exclusions: abnormal waste, storage, administrative overheads and selling costs. The big IFRS difference is in the next section: IAS 2 does not allow LIFO.</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7.3  Cost flow assumptions</w:t>
            </w:r>
          </w:p>
          <w:p>
            <w:pPr>
              <w:spacing w:before="0" w:after="46"/>
            </w:pPr>
            <w:r>
              <w:rPr>
                <w:color w:val="E8EAF6"/>
                <w:sz w:val="16"/>
                <w:szCs w:val="16"/>
              </w:rPr>
              <w:t xml:space="preserve">Chapter 7 · section 7.3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Unit costs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during the year. </w:t>
      </w:r>
      <w:r>
        <w:rPr>
          <w:sz w:val="19"/>
          <w:szCs w:val="19"/>
        </w:rPr>
        <w:t xml:space="preserve">When a company sells some units and keeps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it must decide which costs go to cost of goods sold and which stay in ending inventory. </w:t>
      </w:r>
      <w:r>
        <w:rPr>
          <w:sz w:val="19"/>
          <w:szCs w:val="19"/>
        </w:rPr>
        <w:t xml:space="preserve">This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is a cost flow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It does not need to match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flow of the goods. </w:t>
      </w:r>
      <w:r>
        <w:rPr>
          <w:sz w:val="19"/>
          <w:szCs w:val="19"/>
        </w:rPr>
        <w:t xml:space="preserve">Specific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tracks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cost of each item. </w:t>
      </w:r>
      <w:r>
        <w:rPr>
          <w:sz w:val="19"/>
          <w:szCs w:val="19"/>
        </w:rPr>
        <w:t xml:space="preserve">It suits unique,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items, such as cars or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r>
        <w:rPr>
          <w:sz w:val="19"/>
          <w:szCs w:val="19"/>
        </w:rPr>
        <w:t xml:space="preserve">FIFO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first-out) sends the oldest costs to cost of goods sold. </w:t>
      </w:r>
      <w:r>
        <w:rPr>
          <w:sz w:val="19"/>
          <w:szCs w:val="19"/>
        </w:rPr>
        <w:t xml:space="preserve">Ending inventory holds the newest costs. </w:t>
      </w:r>
      <w:r>
        <w:rPr>
          <w:sz w:val="19"/>
          <w:szCs w:val="19"/>
        </w:rPr>
        <w:t xml:space="preserve">LIFO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first-out) sends the newest costs to cost of goods sold. </w:t>
      </w:r>
      <w:r>
        <w:rPr>
          <w:sz w:val="19"/>
          <w:szCs w:val="19"/>
        </w:rPr>
        <w:t xml:space="preserve">Ending inventory holds the oldest costs. </w:t>
      </w:r>
      <w:r>
        <w:rPr>
          <w:sz w:val="19"/>
          <w:szCs w:val="19"/>
        </w:rPr>
        <w:t xml:space="preserve"/>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cost divides the cost of goods available by the units available and uses this one unit cost for both cost of goods sold and ending inventory.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actual   ·   expensive   ·   first-in   ·   change   ·   Weighted-average   ·   last-in   ·   decision   ·   physical   ·   November   ·   others   ·   jewelry   ·   identification   ·   assumption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Orontes olive oil: three methods, one set of facts</w:t>
            </w:r>
          </w:p>
        </w:tc>
      </w:tr>
    </w:tbl>
    <w:p/>
    <w:p>
      <w:pPr>
        <w:spacing w:before="44" w:after="14"/>
      </w:pPr>
      <w:r>
        <w:rPr>
          <w:b/>
          <w:bCs/>
          <w:color w:val="353A7C"/>
          <w:sz w:val="18"/>
          <w:szCs w:val="18"/>
        </w:rPr>
        <w:t xml:space="preserve">Summary 2</w:t>
      </w:r>
      <w:r>
        <w:rPr>
          <w:color w:val="6B7280"/>
          <w:sz w:val="16"/>
          <w:szCs w:val="16"/>
        </w:rPr>
        <w:t xml:space="preserve">      gaps 13–17</w:t>
      </w:r>
    </w:p>
    <w:p>
      <w:pPr>
        <w:spacing w:before="20" w:after="20" w:line="360" w:lineRule="auto"/>
        <w:ind w:left="200"/>
      </w:pPr>
      <w:r>
        <w:rPr>
          <w:sz w:val="19"/>
          <w:szCs w:val="19"/>
        </w:rPr>
        <w:t xml:space="preserve">Orontes sells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olive oil in cases of twelve bottles. </w:t>
      </w:r>
      <w:r>
        <w:rPr>
          <w:sz w:val="19"/>
          <w:szCs w:val="19"/>
        </w:rPr>
        <w:t xml:space="preserve"/>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rose during 2025. </w:t>
      </w:r>
      <w:r>
        <w:rPr>
          <w:sz w:val="19"/>
          <w:szCs w:val="19"/>
        </w:rPr>
        <w:t xml:space="preserve">Orontes began the year with 1,000 cases at $40. </w:t>
      </w:r>
      <w:r>
        <w:rPr>
          <w:sz w:val="19"/>
          <w:szCs w:val="19"/>
        </w:rPr>
        <w:t xml:space="preserve">It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2,000 cases at $44, then 3,000 at $48, then 2,000 at $50. </w:t>
      </w:r>
      <w:r>
        <w:rPr>
          <w:sz w:val="19"/>
          <w:szCs w:val="19"/>
        </w:rPr>
        <w:t xml:space="preserve">It sold 6,000 cases at $70, so 2,000 cases are left. </w:t>
      </w:r>
      <w:r>
        <w:rPr>
          <w:sz w:val="19"/>
          <w:szCs w:val="19"/>
        </w:rPr>
        <w:t xml:space="preserve">The company uses a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system. </w:t>
      </w:r>
      <w:r>
        <w:rPr>
          <w:sz w:val="19"/>
          <w:szCs w:val="19"/>
        </w:rPr>
        <w:t xml:space="preserve">Goods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8,000 cases costing $372,000.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available   ·   premium   ·   Weighted-average   ·   Prices   ·   bought   ·   periodic</w:t>
            </w:r>
          </w:p>
        </w:tc>
      </w:tr>
    </w:tbl>
    <w:p/>
    <w:p>
      <w:pPr>
        <w:spacing w:before="44" w:after="10"/>
      </w:pPr>
      <w:r>
        <w:rPr>
          <w:b/>
          <w:bCs/>
          <w:color w:val="353A7C"/>
          <w:sz w:val="18"/>
          <w:szCs w:val="18"/>
        </w:rPr>
        <w:t xml:space="preserve">Orontes olive oil: three methods, one set of facts</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LIFO   ·   freight-in</w:t>
            </w:r>
          </w:p>
        </w:tc>
      </w:tr>
    </w:tbl>
    <w:p/>
    <w:p>
      <w:pPr>
        <w:spacing w:before="44" w:after="14"/>
      </w:pPr>
      <w:r>
        <w:rPr>
          <w:b/>
          <w:bCs/>
          <w:color w:val="353A7C"/>
          <w:sz w:val="18"/>
          <w:szCs w:val="18"/>
        </w:rPr>
        <w:t xml:space="preserve">Summary 3</w:t>
      </w:r>
      <w:r>
        <w:rPr>
          <w:color w:val="6B7280"/>
          <w:sz w:val="16"/>
          <w:szCs w:val="16"/>
        </w:rPr>
        <w:t xml:space="preserve">      gaps 19–20</w:t>
      </w:r>
    </w:p>
    <w:p>
      <w:pPr>
        <w:spacing w:before="20" w:after="20" w:line="360" w:lineRule="auto"/>
        <w:ind w:left="200"/>
      </w:pPr>
      <w:r>
        <w:rPr>
          <w:sz w:val="19"/>
          <w:szCs w:val="19"/>
        </w:rPr>
        <w:t xml:space="preserve">In each row, ending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plus cost of goods sold equals the cost of goods available. </w:t>
      </w:r>
      <w:r>
        <w:rPr>
          <w:sz w:val="19"/>
          <w:szCs w:val="19"/>
        </w:rPr>
        <w:t xml:space="preserve">Only the split is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Orontes   ·   different   ·   inventory</w:t>
            </w:r>
          </w:p>
        </w:tc>
      </w:tr>
    </w:tbl>
    <w:p/>
    <w:p>
      <w:pPr>
        <w:pageBreakBefore w:val="true"/>
        <w:spacing w:after="0"/>
      </w:pPr>
      <w:r>
        <w:rPr>
          <w:sz w:val="2"/>
        </w:rPr>
        <w:t xml:space="preserve"> </w:t>
      </w:r>
    </w:p>
    <w:p>
      <w:pPr>
        <w:spacing w:before="44" w:after="10"/>
      </w:pPr>
      <w:r>
        <w:rPr>
          <w:b/>
          <w:bCs/>
          <w:color w:val="353A7C"/>
          <w:sz w:val="18"/>
          <w:szCs w:val="18"/>
        </w:rPr>
        <w:t xml:space="preserve">Olive oil: periodic versus perpetual results (whole USD)</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Average (weighted / moving)   ·   goods available for sale</w:t>
            </w:r>
          </w:p>
        </w:tc>
      </w:tr>
    </w:tbl>
    <w:p/>
    <w:p>
      <w:pPr>
        <w:spacing w:before="44" w:after="14"/>
      </w:pPr>
      <w:r>
        <w:rPr>
          <w:b/>
          <w:bCs/>
          <w:color w:val="353A7C"/>
          <w:sz w:val="18"/>
          <w:szCs w:val="18"/>
        </w:rPr>
        <w:t xml:space="preserve">Summary 4</w:t>
      </w:r>
      <w:r>
        <w:rPr>
          <w:color w:val="6B7280"/>
          <w:sz w:val="16"/>
          <w:szCs w:val="16"/>
        </w:rPr>
        <w:t xml:space="preserve">      gaps 22–29</w:t>
      </w:r>
    </w:p>
    <w:p>
      <w:pPr>
        <w:spacing w:before="20" w:after="20" w:line="360" w:lineRule="auto"/>
        <w:ind w:left="200"/>
      </w:pPr>
      <w:r>
        <w:rPr>
          <w:sz w:val="19"/>
          <w:szCs w:val="19"/>
        </w:rPr>
        <w:t xml:space="preserve">In a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inventory system, the company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the goods at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and calculates cost of goods sold for the whole period. </w:t>
      </w:r>
      <w:r>
        <w:rPr>
          <w:sz w:val="19"/>
          <w:szCs w:val="19"/>
        </w:rPr>
        <w:t xml:space="preserve">In a perpetual inventory system, it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inventory and cost of goods sold after every purchase and every sale. </w:t>
      </w:r>
      <w:r>
        <w:rPr>
          <w:sz w:val="19"/>
          <w:szCs w:val="19"/>
        </w:rPr>
        <w:t xml:space="preserve">The average method in a perpetual system is the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average: the company calculates a new average after each purchase. </w:t>
      </w:r>
      <w:r>
        <w:rPr>
          <w:sz w:val="19"/>
          <w:szCs w:val="19"/>
        </w:rPr>
        <w:t xml:space="preserve">FIFO gives the same result in both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because the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units are always sold first. </w:t>
      </w:r>
      <w:r>
        <w:rPr>
          <w:sz w:val="19"/>
          <w:szCs w:val="19"/>
        </w:rPr>
        <w:t xml:space="preserve">LIFO and the average method do not: under a perpetual system, each sale can only use the costs that exist on the date of the sale. </w:t>
      </w:r>
      <w:r>
        <w:rPr>
          <w:sz w:val="19"/>
          <w:szCs w:val="19"/>
        </w:rPr>
        <w:t xml:space="preserve">The sales took place in April, August and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periodic   ·   oldest   ·   perpetual   ·   updates   ·   November   ·   systems   ·   counts   ·   moving   ·   year-end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Periodic LIFO for Dubai pastry trays</w:t>
            </w:r>
          </w:p>
        </w:tc>
      </w:tr>
    </w:tbl>
    <w:p/>
    <w:p>
      <w:pPr>
        <w:spacing w:before="44" w:after="14"/>
      </w:pPr>
      <w:r>
        <w:rPr>
          <w:b/>
          <w:bCs/>
          <w:color w:val="353A7C"/>
          <w:sz w:val="18"/>
          <w:szCs w:val="18"/>
        </w:rPr>
        <w:t xml:space="preserve">Summary 5</w:t>
      </w:r>
      <w:r>
        <w:rPr>
          <w:color w:val="6B7280"/>
          <w:sz w:val="16"/>
          <w:szCs w:val="16"/>
        </w:rPr>
        <w:t xml:space="preserve">      gaps 30–35</w:t>
      </w:r>
    </w:p>
    <w:p>
      <w:pPr>
        <w:spacing w:before="20" w:after="20" w:line="360" w:lineRule="auto"/>
        <w:ind w:left="200"/>
      </w:pPr>
      <w:r>
        <w:rPr>
          <w:sz w:val="19"/>
          <w:szCs w:val="19"/>
        </w:rPr>
        <w:t xml:space="preserve">The Dubai plant had 3,000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pastry trays available in 2025, </w:t>
      </w:r>
      <w:r>
        <w:rPr>
          <w:b/>
          <w:bCs/>
          <w:color w:val="8186EF"/>
          <w:sz w:val="15"/>
          <w:szCs w:val="15"/>
        </w:rPr>
        <w:t xml:space="preserve"> (31) </w:t>
      </w:r>
      <w:r>
        <w:rPr>
          <w:u w:val="single"/>
          <w:sz w:val="19"/>
          <w:szCs w:val="19"/>
        </w:rPr>
        <w:t xml:space="preserve">           </w:t>
      </w:r>
      <w:r>
        <w:rPr>
          <w:sz w:val="19"/>
          <w:szCs w:val="19"/>
        </w:rPr>
        <w:t xml:space="preserve"> </w:t>
      </w:r>
      <w:r>
        <w:rPr>
          <w:sz w:val="19"/>
          <w:szCs w:val="19"/>
        </w:rPr>
        <w:t xml:space="preserve"> $68,000. </w:t>
      </w:r>
      <w:r>
        <w:rPr>
          <w:sz w:val="19"/>
          <w:szCs w:val="19"/>
        </w:rPr>
        <w:t xml:space="preserve">It sold 2,200 trays. </w:t>
      </w:r>
      <w:r>
        <w:rPr>
          <w:sz w:val="19"/>
          <w:szCs w:val="19"/>
        </w:rPr>
        <w:t xml:space="preserve"/>
      </w:r>
      <w:r>
        <w:rPr>
          <w:b/>
          <w:bCs/>
          <w:color w:val="8186EF"/>
          <w:sz w:val="15"/>
          <w:szCs w:val="15"/>
        </w:rPr>
        <w:t xml:space="preserve"> (32) </w:t>
      </w:r>
      <w:r>
        <w:rPr>
          <w:u w:val="single"/>
          <w:sz w:val="19"/>
          <w:szCs w:val="19"/>
        </w:rPr>
        <w:t xml:space="preserve">           </w:t>
      </w:r>
      <w:r>
        <w:rPr>
          <w:sz w:val="19"/>
          <w:szCs w:val="19"/>
        </w:rPr>
        <w:t xml:space="preserve"> </w:t>
      </w:r>
      <w:r>
        <w:rPr>
          <w:sz w:val="19"/>
          <w:szCs w:val="19"/>
        </w:rPr>
        <w:t xml:space="preserve"> the dashed boxes below using periodic LIFO. </w:t>
      </w:r>
      <w:r>
        <w:rPr>
          <w:sz w:val="19"/>
          <w:szCs w:val="19"/>
        </w:rPr>
        <w:t xml:space="preserve">Then check that cost of goods sold plus ending </w:t>
      </w:r>
      <w:r>
        <w:rPr>
          <w:b/>
          <w:bCs/>
          <w:color w:val="8186EF"/>
          <w:sz w:val="15"/>
          <w:szCs w:val="15"/>
        </w:rPr>
        <w:t xml:space="preserve"> (33) </w:t>
      </w:r>
      <w:r>
        <w:rPr>
          <w:u w:val="single"/>
          <w:sz w:val="19"/>
          <w:szCs w:val="19"/>
        </w:rPr>
        <w:t xml:space="preserve">           </w:t>
      </w:r>
      <w:r>
        <w:rPr>
          <w:sz w:val="19"/>
          <w:szCs w:val="19"/>
        </w:rPr>
        <w:t xml:space="preserve"> </w:t>
      </w:r>
      <w:r>
        <w:rPr>
          <w:sz w:val="19"/>
          <w:szCs w:val="19"/>
        </w:rPr>
        <w:t xml:space="preserve"> equals the cost of goods available. </w:t>
      </w:r>
      <w:r>
        <w:rPr>
          <w:sz w:val="19"/>
          <w:szCs w:val="19"/>
        </w:rPr>
        <w:t xml:space="preserve">IAS 2 allows FIFO and the weighted average, and it requires specific identification for items that are not </w:t>
      </w:r>
      <w:r>
        <w:rPr>
          <w:b/>
          <w:bCs/>
          <w:color w:val="8186EF"/>
          <w:sz w:val="15"/>
          <w:szCs w:val="15"/>
        </w:rPr>
        <w:t xml:space="preserve"> (34) </w:t>
      </w:r>
      <w:r>
        <w:rPr>
          <w:u w:val="single"/>
          <w:sz w:val="19"/>
          <w:szCs w:val="19"/>
        </w:rPr>
        <w:t xml:space="preserve">                 </w:t>
      </w:r>
      <w:r>
        <w:rPr>
          <w:sz w:val="19"/>
          <w:szCs w:val="19"/>
        </w:rPr>
        <w:t xml:space="preserve"> </w:t>
      </w:r>
      <w:r>
        <w:rPr>
          <w:sz w:val="19"/>
          <w:szCs w:val="19"/>
        </w:rPr>
        <w:t xml:space="preserve">. </w:t>
      </w:r>
      <w:r>
        <w:rPr>
          <w:sz w:val="19"/>
          <w:szCs w:val="19"/>
        </w:rPr>
        <w:t xml:space="preserve">It does not allow LIFO. </w:t>
      </w:r>
      <w:r>
        <w:rPr>
          <w:sz w:val="19"/>
          <w:szCs w:val="19"/>
        </w:rPr>
        <w:t xml:space="preserve">You will compare the two </w:t>
      </w:r>
      <w:r>
        <w:rPr>
          <w:b/>
          <w:bCs/>
          <w:color w:val="8186EF"/>
          <w:sz w:val="15"/>
          <w:szCs w:val="15"/>
        </w:rPr>
        <w:t xml:space="preserve"> (35) </w:t>
      </w:r>
      <w:r>
        <w:rPr>
          <w:u w:val="single"/>
          <w:sz w:val="19"/>
          <w:szCs w:val="19"/>
        </w:rPr>
        <w:t xml:space="preserve">            </w:t>
      </w:r>
      <w:r>
        <w:rPr>
          <w:sz w:val="19"/>
          <w:szCs w:val="19"/>
        </w:rPr>
        <w:t xml:space="preserve"> </w:t>
      </w:r>
      <w:r>
        <w:rPr>
          <w:sz w:val="19"/>
          <w:szCs w:val="19"/>
        </w:rPr>
        <w:t xml:space="preserve"> again.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perpetual   ·   frozen   ·   inventory   ·   Complete   ·   interchangeable   ·   frameworks   ·   costing</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55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3553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specific identification   ·   moving average   ·   LIFO conformity rule   ·   LIFO (last-in, first-out)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15"/>
        <w:gridCol w:w="4985"/>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4"/>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96"/>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4"/>
            <w:tcMar>
              <w:top w:type="dxa" w:w="50"/>
              <w:left w:type="dxa" w:w="110"/>
              <w:bottom w:type="dxa" w:w="50"/>
              <w:right w:type="dxa" w:w="110"/>
            </w:tcMar>
          </w:tcPr>
          <w:p>
            <w:pPr>
              <w:spacing w:before="26" w:after="26"/>
            </w:pPr>
            <w:r>
              <w:rPr>
                <w:color w:val="232733"/>
                <w:sz w:val="16"/>
                <w:szCs w:val="16"/>
              </w:rPr>
              <w:t xml:space="preserve">cost flow assumption</w:t>
            </w:r>
          </w:p>
        </w:tc>
        <w:tc>
          <w:tcPr>
            <w:tcW w:type="pct" w:w="2596"/>
            <w:tcMar>
              <w:top w:type="dxa" w:w="50"/>
              <w:left w:type="dxa" w:w="110"/>
              <w:bottom w:type="dxa" w:w="50"/>
              <w:right w:type="dxa" w:w="110"/>
            </w:tcMar>
          </w:tcPr>
          <w:p>
            <w:pPr>
              <w:spacing w:before="26" w:after="26"/>
            </w:pPr>
            <w:r>
              <w:rPr>
                <w:color w:val="232733"/>
                <w:sz w:val="16"/>
                <w:szCs w:val="16"/>
              </w:rPr>
              <w:t xml:space="preserve">افتراض تدفق التكلفة</w:t>
            </w:r>
          </w:p>
        </w:tc>
      </w:tr>
      <w:tr>
        <w:tc>
          <w:tcPr>
            <w:tcW w:type="pct" w:w="2404"/>
            <w:shd w:fill="FBFAF6" w:val="clear"/>
            <w:tcMar>
              <w:top w:type="dxa" w:w="50"/>
              <w:left w:type="dxa" w:w="110"/>
              <w:bottom w:type="dxa" w:w="50"/>
              <w:right w:type="dxa" w:w="110"/>
            </w:tcMar>
          </w:tcPr>
          <w:p>
            <w:pPr>
              <w:spacing w:before="26" w:after="26"/>
            </w:pPr>
            <w:r>
              <w:rPr>
                <w:color w:val="232733"/>
                <w:sz w:val="16"/>
                <w:szCs w:val="16"/>
              </w:rPr>
              <w:t xml:space="preserve">specific identification</w:t>
            </w:r>
          </w:p>
        </w:tc>
        <w:tc>
          <w:tcPr>
            <w:tcW w:type="pct" w:w="2596"/>
            <w:shd w:fill="FBFAF6" w:val="clear"/>
            <w:tcMar>
              <w:top w:type="dxa" w:w="50"/>
              <w:left w:type="dxa" w:w="110"/>
              <w:bottom w:type="dxa" w:w="50"/>
              <w:right w:type="dxa" w:w="110"/>
            </w:tcMar>
          </w:tcPr>
          <w:p>
            <w:pPr>
              <w:spacing w:before="26" w:after="26"/>
            </w:pPr>
            <w:r>
              <w:rPr>
                <w:color w:val="232733"/>
                <w:sz w:val="16"/>
                <w:szCs w:val="16"/>
              </w:rPr>
              <w:t xml:space="preserve">التحديد العيني (التمييز المحدد)</w:t>
            </w:r>
          </w:p>
        </w:tc>
      </w:tr>
      <w:tr>
        <w:tc>
          <w:tcPr>
            <w:tcW w:type="pct" w:w="2404"/>
            <w:tcMar>
              <w:top w:type="dxa" w:w="50"/>
              <w:left w:type="dxa" w:w="110"/>
              <w:bottom w:type="dxa" w:w="50"/>
              <w:right w:type="dxa" w:w="110"/>
            </w:tcMar>
          </w:tcPr>
          <w:p>
            <w:pPr>
              <w:spacing w:before="26" w:after="26"/>
            </w:pPr>
            <w:r>
              <w:rPr>
                <w:color w:val="232733"/>
                <w:sz w:val="16"/>
                <w:szCs w:val="16"/>
              </w:rPr>
              <w:t xml:space="preserve">FIFO (first-in, first-out)</w:t>
            </w:r>
          </w:p>
        </w:tc>
        <w:tc>
          <w:tcPr>
            <w:tcW w:type="pct" w:w="2596"/>
            <w:tcMar>
              <w:top w:type="dxa" w:w="50"/>
              <w:left w:type="dxa" w:w="110"/>
              <w:bottom w:type="dxa" w:w="50"/>
              <w:right w:type="dxa" w:w="110"/>
            </w:tcMar>
          </w:tcPr>
          <w:p>
            <w:pPr>
              <w:spacing w:before="26" w:after="26"/>
            </w:pPr>
            <w:r>
              <w:rPr>
                <w:color w:val="232733"/>
                <w:sz w:val="16"/>
                <w:szCs w:val="16"/>
              </w:rPr>
              <w:t xml:space="preserve">الوارد أولاً يُصرف أولاً</w:t>
            </w:r>
          </w:p>
        </w:tc>
      </w:tr>
      <w:tr>
        <w:tc>
          <w:tcPr>
            <w:tcW w:type="pct" w:w="2404"/>
            <w:shd w:fill="FBFAF6" w:val="clear"/>
            <w:tcMar>
              <w:top w:type="dxa" w:w="50"/>
              <w:left w:type="dxa" w:w="110"/>
              <w:bottom w:type="dxa" w:w="50"/>
              <w:right w:type="dxa" w:w="110"/>
            </w:tcMar>
          </w:tcPr>
          <w:p>
            <w:pPr>
              <w:spacing w:before="26" w:after="26"/>
            </w:pPr>
            <w:r>
              <w:rPr>
                <w:color w:val="232733"/>
                <w:sz w:val="16"/>
                <w:szCs w:val="16"/>
              </w:rPr>
              <w:t xml:space="preserve">LIFO (last-in, first-out)</w:t>
            </w:r>
          </w:p>
        </w:tc>
        <w:tc>
          <w:tcPr>
            <w:tcW w:type="pct" w:w="2596"/>
            <w:shd w:fill="FBFAF6" w:val="clear"/>
            <w:tcMar>
              <w:top w:type="dxa" w:w="50"/>
              <w:left w:type="dxa" w:w="110"/>
              <w:bottom w:type="dxa" w:w="50"/>
              <w:right w:type="dxa" w:w="110"/>
            </w:tcMar>
          </w:tcPr>
          <w:p>
            <w:pPr>
              <w:spacing w:before="26" w:after="26"/>
            </w:pPr>
            <w:r>
              <w:rPr>
                <w:color w:val="232733"/>
                <w:sz w:val="16"/>
                <w:szCs w:val="16"/>
              </w:rPr>
              <w:t xml:space="preserve">الوارد أخيراً يُصرف أولاً</w:t>
            </w:r>
          </w:p>
        </w:tc>
      </w:tr>
      <w:tr>
        <w:tc>
          <w:tcPr>
            <w:tcW w:type="pct" w:w="2404"/>
            <w:tcMar>
              <w:top w:type="dxa" w:w="50"/>
              <w:left w:type="dxa" w:w="110"/>
              <w:bottom w:type="dxa" w:w="50"/>
              <w:right w:type="dxa" w:w="110"/>
            </w:tcMar>
          </w:tcPr>
          <w:p>
            <w:pPr>
              <w:spacing w:before="26" w:after="26"/>
            </w:pPr>
            <w:r>
              <w:rPr>
                <w:color w:val="232733"/>
                <w:sz w:val="16"/>
                <w:szCs w:val="16"/>
              </w:rPr>
              <w:t xml:space="preserve">weighted-average cost</w:t>
            </w:r>
          </w:p>
        </w:tc>
        <w:tc>
          <w:tcPr>
            <w:tcW w:type="pct" w:w="2596"/>
            <w:tcMar>
              <w:top w:type="dxa" w:w="50"/>
              <w:left w:type="dxa" w:w="110"/>
              <w:bottom w:type="dxa" w:w="50"/>
              <w:right w:type="dxa" w:w="110"/>
            </w:tcMar>
          </w:tcPr>
          <w:p>
            <w:pPr>
              <w:spacing w:before="26" w:after="26"/>
            </w:pPr>
            <w:r>
              <w:rPr>
                <w:color w:val="232733"/>
                <w:sz w:val="16"/>
                <w:szCs w:val="16"/>
              </w:rPr>
              <w:t xml:space="preserve">المتوسط المرجح للتكلفة</w:t>
            </w:r>
          </w:p>
        </w:tc>
      </w:tr>
      <w:tr>
        <w:tc>
          <w:tcPr>
            <w:tcW w:type="pct" w:w="2404"/>
            <w:shd w:fill="FBFAF6" w:val="clear"/>
            <w:tcMar>
              <w:top w:type="dxa" w:w="50"/>
              <w:left w:type="dxa" w:w="110"/>
              <w:bottom w:type="dxa" w:w="50"/>
              <w:right w:type="dxa" w:w="110"/>
            </w:tcMar>
          </w:tcPr>
          <w:p>
            <w:pPr>
              <w:spacing w:before="26" w:after="26"/>
            </w:pPr>
            <w:r>
              <w:rPr>
                <w:color w:val="232733"/>
                <w:sz w:val="16"/>
                <w:szCs w:val="16"/>
              </w:rPr>
              <w:t xml:space="preserve">moving average</w:t>
            </w:r>
          </w:p>
        </w:tc>
        <w:tc>
          <w:tcPr>
            <w:tcW w:type="pct" w:w="2596"/>
            <w:shd w:fill="FBFAF6" w:val="clear"/>
            <w:tcMar>
              <w:top w:type="dxa" w:w="50"/>
              <w:left w:type="dxa" w:w="110"/>
              <w:bottom w:type="dxa" w:w="50"/>
              <w:right w:type="dxa" w:w="110"/>
            </w:tcMar>
          </w:tcPr>
          <w:p>
            <w:pPr>
              <w:spacing w:before="26" w:after="26"/>
            </w:pPr>
            <w:r>
              <w:rPr>
                <w:color w:val="232733"/>
                <w:sz w:val="16"/>
                <w:szCs w:val="16"/>
              </w:rPr>
              <w:t xml:space="preserve">المتوسط المتحرك</w:t>
            </w:r>
          </w:p>
        </w:tc>
      </w:tr>
      <w:tr>
        <w:tc>
          <w:tcPr>
            <w:tcW w:type="pct" w:w="2404"/>
            <w:tcMar>
              <w:top w:type="dxa" w:w="50"/>
              <w:left w:type="dxa" w:w="110"/>
              <w:bottom w:type="dxa" w:w="50"/>
              <w:right w:type="dxa" w:w="110"/>
            </w:tcMar>
          </w:tcPr>
          <w:p>
            <w:pPr>
              <w:spacing w:before="26" w:after="26"/>
            </w:pPr>
            <w:r>
              <w:rPr>
                <w:color w:val="232733"/>
                <w:sz w:val="16"/>
                <w:szCs w:val="16"/>
              </w:rPr>
              <w:t xml:space="preserve">periodic inventory system</w:t>
            </w:r>
          </w:p>
        </w:tc>
        <w:tc>
          <w:tcPr>
            <w:tcW w:type="pct" w:w="2596"/>
            <w:tcMar>
              <w:top w:type="dxa" w:w="50"/>
              <w:left w:type="dxa" w:w="110"/>
              <w:bottom w:type="dxa" w:w="50"/>
              <w:right w:type="dxa" w:w="110"/>
            </w:tcMar>
          </w:tcPr>
          <w:p>
            <w:pPr>
              <w:spacing w:before="26" w:after="26"/>
            </w:pPr>
            <w:r>
              <w:rPr>
                <w:color w:val="232733"/>
                <w:sz w:val="16"/>
                <w:szCs w:val="16"/>
              </w:rPr>
              <w:t xml:space="preserve">نظام الجرد الدوري</w:t>
            </w:r>
          </w:p>
        </w:tc>
      </w:tr>
      <w:tr>
        <w:tc>
          <w:tcPr>
            <w:tcW w:type="pct" w:w="2404"/>
            <w:shd w:fill="FBFAF6" w:val="clear"/>
            <w:tcMar>
              <w:top w:type="dxa" w:w="50"/>
              <w:left w:type="dxa" w:w="110"/>
              <w:bottom w:type="dxa" w:w="50"/>
              <w:right w:type="dxa" w:w="110"/>
            </w:tcMar>
          </w:tcPr>
          <w:p>
            <w:pPr>
              <w:spacing w:before="26" w:after="26"/>
            </w:pPr>
            <w:r>
              <w:rPr>
                <w:color w:val="232733"/>
                <w:sz w:val="16"/>
                <w:szCs w:val="16"/>
              </w:rPr>
              <w:t xml:space="preserve">perpetual inventory system</w:t>
            </w:r>
          </w:p>
        </w:tc>
        <w:tc>
          <w:tcPr>
            <w:tcW w:type="pct" w:w="2596"/>
            <w:shd w:fill="FBFAF6" w:val="clear"/>
            <w:tcMar>
              <w:top w:type="dxa" w:w="50"/>
              <w:left w:type="dxa" w:w="110"/>
              <w:bottom w:type="dxa" w:w="50"/>
              <w:right w:type="dxa" w:w="110"/>
            </w:tcMar>
          </w:tcPr>
          <w:p>
            <w:pPr>
              <w:spacing w:before="26" w:after="26"/>
            </w:pPr>
            <w:r>
              <w:rPr>
                <w:color w:val="232733"/>
                <w:sz w:val="16"/>
                <w:szCs w:val="16"/>
              </w:rPr>
              <w:t xml:space="preserve">نظام الجرد المستمر</w:t>
            </w:r>
          </w:p>
        </w:tc>
      </w:tr>
      <w:tr>
        <w:tc>
          <w:tcPr>
            <w:tcW w:type="pct" w:w="2404"/>
            <w:tcMar>
              <w:top w:type="dxa" w:w="50"/>
              <w:left w:type="dxa" w:w="110"/>
              <w:bottom w:type="dxa" w:w="50"/>
              <w:right w:type="dxa" w:w="110"/>
            </w:tcMar>
          </w:tcPr>
          <w:p>
            <w:pPr>
              <w:spacing w:before="26" w:after="26"/>
            </w:pPr>
            <w:r>
              <w:rPr>
                <w:color w:val="232733"/>
                <w:sz w:val="16"/>
                <w:szCs w:val="16"/>
              </w:rPr>
              <w:t xml:space="preserve">goods available for sale</w:t>
            </w:r>
          </w:p>
        </w:tc>
        <w:tc>
          <w:tcPr>
            <w:tcW w:type="pct" w:w="2596"/>
            <w:tcMar>
              <w:top w:type="dxa" w:w="50"/>
              <w:left w:type="dxa" w:w="110"/>
              <w:bottom w:type="dxa" w:w="50"/>
              <w:right w:type="dxa" w:w="110"/>
            </w:tcMar>
          </w:tcPr>
          <w:p>
            <w:pPr>
              <w:spacing w:before="26" w:after="26"/>
            </w:pPr>
            <w:r>
              <w:rPr>
                <w:color w:val="232733"/>
                <w:sz w:val="16"/>
                <w:szCs w:val="16"/>
              </w:rPr>
              <w:t xml:space="preserve">البضاعة المتاحة للبيع</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7.3  Cost flow assumptions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change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different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others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Average (weighted / moving)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decision</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periodic</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assumption</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counts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physical</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year-end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identification</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updates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actual</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moving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expensive</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systems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jewelry</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oldest</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first-in</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November</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last-in</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frozen</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Weighted-average</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costing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premium</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Complete</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Prices</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bought</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interchangeable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periodic</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frameworks</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available</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specific identification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LIFO</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LIFO (last-in, first-out)</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inventory</w:t>
            </w:r>
          </w:p>
        </w:tc>
        <w:tc>
          <w:tcPr>
            <w:tcW w:type="pct" w:w="2500"/>
            <w:tcMar>
              <w:top w:type="dxa" w:w="20"/>
              <w:left w:type="dxa" w:w="80"/>
              <w:bottom w:type="dxa" w:w="20"/>
              <w:right w:type="dxa" w:w="80"/>
            </w:tcMar>
          </w:tcPr>
          <w:p>
            <w:pPr>
              <w:spacing w:before="12" w:after="12"/>
            </w:pPr>
            <w:r>
              <w:rPr>
                <w:b/>
                <w:bCs/>
                <w:color w:val="8186EF"/>
                <w:sz w:val="16"/>
                <w:szCs w:val="16"/>
              </w:rPr>
              <w:t xml:space="preserve">38  </w:t>
            </w:r>
            <w:r>
              <w:rPr>
                <w:sz w:val="16"/>
                <w:szCs w:val="16"/>
              </w:rPr>
              <w:t xml:space="preserve">moving average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Unit costs change during the year. When a company sells some units and keeps others, it must decide which costs go to cost of goods sold and which stay in ending inventory. This decision is a cost flow assumption. It does not need to match the physical flow of the goods. Specific identification tracks the actual cost of each item. It suits unique, expensive items, such as cars or jewelry. FIFO (first-in, first-out) sends the oldest costs to cost of goods sold. Ending inventory holds the newest costs. LIFO (last-in, first-out) sends the newest costs to cost of goods sold. Ending inventory holds the oldest costs. Weighted-average cost divides the cost of goods available by the units available and uses this one unit cost for both cost of goods sold and ending inventory.</w:t>
      </w:r>
    </w:p>
    <w:p>
      <w:pPr>
        <w:spacing w:before="20" w:after="20"/>
        <w:ind w:left="240" w:hanging="240"/>
      </w:pPr>
      <w:r>
        <w:rPr>
          <w:b/>
          <w:bCs/>
          <w:color w:val="353A7C"/>
          <w:sz w:val="15"/>
          <w:szCs w:val="15"/>
        </w:rPr>
        <w:t xml:space="preserve">Summary 2   </w:t>
      </w:r>
      <w:r>
        <w:rPr>
          <w:color w:val="6B7280"/>
          <w:sz w:val="15"/>
          <w:szCs w:val="15"/>
        </w:rPr>
        <w:t xml:space="preserve">Orontes sells premium olive oil in cases of twelve bottles. Prices rose during 2025. Orontes began the year with 1,000 cases at $40. It bought 2,000 cases at $44, then 3,000 at $48, then 2,000 at $50. It sold 6,000 cases at $70, so 2,000 cases are left. The company uses a periodic system. Goods available: 8,000 cases costing $372,000.</w:t>
      </w:r>
    </w:p>
    <w:p>
      <w:pPr>
        <w:spacing w:before="20" w:after="20"/>
        <w:ind w:left="240" w:hanging="240"/>
      </w:pPr>
      <w:r>
        <w:rPr>
          <w:b/>
          <w:bCs/>
          <w:color w:val="353A7C"/>
          <w:sz w:val="15"/>
          <w:szCs w:val="15"/>
        </w:rPr>
        <w:t xml:space="preserve">Summary 3   </w:t>
      </w:r>
      <w:r>
        <w:rPr>
          <w:color w:val="6B7280"/>
          <w:sz w:val="15"/>
          <w:szCs w:val="15"/>
        </w:rPr>
        <w:t xml:space="preserve">In each row, ending inventory plus cost of goods sold equals the cost of goods available. Only the split is different.</w:t>
      </w:r>
    </w:p>
    <w:p>
      <w:pPr>
        <w:spacing w:before="20" w:after="20"/>
        <w:ind w:left="240" w:hanging="240"/>
      </w:pPr>
      <w:r>
        <w:rPr>
          <w:b/>
          <w:bCs/>
          <w:color w:val="353A7C"/>
          <w:sz w:val="15"/>
          <w:szCs w:val="15"/>
        </w:rPr>
        <w:t xml:space="preserve">Summary 4   </w:t>
      </w:r>
      <w:r>
        <w:rPr>
          <w:color w:val="6B7280"/>
          <w:sz w:val="15"/>
          <w:szCs w:val="15"/>
        </w:rPr>
        <w:t xml:space="preserve">In a periodic inventory system, the company counts the goods at year-end and calculates cost of goods sold for the whole period. In a perpetual inventory system, it updates inventory and cost of goods sold after every purchase and every sale. The average method in a perpetual system is the moving average: the company calculates a new average after each purchase. FIFO gives the same result in both systems, because the oldest units are always sold first. LIFO and the average method do not: under a perpetual system, each sale can only use the costs that exist on the date of the sale. The sales took place in April, August and November.</w:t>
      </w:r>
    </w:p>
    <w:p>
      <w:pPr>
        <w:spacing w:before="20" w:after="20"/>
        <w:ind w:left="240" w:hanging="240"/>
      </w:pPr>
      <w:r>
        <w:rPr>
          <w:b/>
          <w:bCs/>
          <w:color w:val="353A7C"/>
          <w:sz w:val="15"/>
          <w:szCs w:val="15"/>
        </w:rPr>
        <w:t xml:space="preserve">Summary 5   </w:t>
      </w:r>
      <w:r>
        <w:rPr>
          <w:color w:val="6B7280"/>
          <w:sz w:val="15"/>
          <w:szCs w:val="15"/>
        </w:rPr>
        <w:t xml:space="preserve">The Dubai plant had 3,000 frozen pastry trays available in 2025, costing $68,000. It sold 2,200 trays. Complete the dashed boxes below using periodic LIFO. Then check that cost of goods sold plus ending inventory equals the cost of goods available. IAS 2 allows FIFO and the weighted average, and it requires specific identification for items that are not interchangeable. It does not allow LIFO. You will compare the two frameworks again.</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7.4  Effects on income, taxes and assets</w:t>
            </w:r>
          </w:p>
          <w:p>
            <w:pPr>
              <w:spacing w:before="0" w:after="46"/>
            </w:pPr>
            <w:r>
              <w:rPr>
                <w:color w:val="E8EAF6"/>
                <w:sz w:val="16"/>
                <w:szCs w:val="16"/>
              </w:rPr>
              <w:t xml:space="preserve">Chapter 7 · section 7.4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When prices are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the methods give very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results. </w:t>
      </w:r>
      <w:r>
        <w:rPr>
          <w:sz w:val="19"/>
          <w:szCs w:val="19"/>
        </w:rPr>
        <w:t xml:space="preserve">FIFO puts the old,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costs into cost of goods sold. </w:t>
      </w:r>
      <w:r>
        <w:rPr>
          <w:sz w:val="19"/>
          <w:szCs w:val="19"/>
        </w:rPr>
        <w:t xml:space="preserve">So FIFO gives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cost of goods sold, the highest gross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the highest income tax and the highest ending inventory. </w:t>
      </w:r>
      <w:r>
        <w:rPr>
          <w:sz w:val="19"/>
          <w:szCs w:val="19"/>
        </w:rPr>
        <w:t xml:space="preserve">LIFO gives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average falls in between. </w:t>
      </w:r>
      <w:r>
        <w:rPr>
          <w:sz w:val="19"/>
          <w:szCs w:val="19"/>
        </w:rPr>
        <w:t xml:space="preserve">When prices are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all these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reverse. </w:t>
      </w:r>
      <w:r>
        <w:rPr>
          <w:sz w:val="19"/>
          <w:szCs w:val="19"/>
        </w:rPr>
        <w:t xml:space="preserve">Each method has 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LIFO matches current costs with current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so its income is closer to current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reality, but its balance sheet shows old costs. </w:t>
      </w:r>
      <w:r>
        <w:rPr>
          <w:sz w:val="19"/>
          <w:szCs w:val="19"/>
        </w:rPr>
        <w:t xml:space="preserve">FIFO shows ending inventory close to current cost, but its income includes gains from holding inventory while prices rise. </w:t>
      </w:r>
      <w:r>
        <w:rPr>
          <w:sz w:val="19"/>
          <w:szCs w:val="19"/>
        </w:rPr>
        <w:t xml:space="preserve">Companies that use LIFO must help readers compare them with FIFO companies. </w:t>
      </w:r>
      <w:r>
        <w:rPr>
          <w:sz w:val="19"/>
          <w:szCs w:val="19"/>
        </w:rPr>
        <w:t xml:space="preserve">The LIFO reserve is the difference between FIFO (or current cost) inventory and LIFO inventory.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falling   ·   economic   ·   opposite   ·   cheaper   ·   lowest   ·   strength   ·   profit   ·   relationships   ·   rising   ·   weighted   ·   holding   ·   revenues   ·   different</w:t>
            </w:r>
          </w:p>
        </w:tc>
      </w:tr>
    </w:tbl>
    <w:p/>
    <w:p>
      <w:pPr>
        <w:spacing w:before="44" w:after="14"/>
      </w:pPr>
      <w:r>
        <w:rPr>
          <w:b/>
          <w:bCs/>
          <w:color w:val="353A7C"/>
          <w:sz w:val="18"/>
          <w:szCs w:val="18"/>
        </w:rPr>
        <w:t xml:space="preserve">Summary 2</w:t>
      </w:r>
      <w:r>
        <w:rPr>
          <w:color w:val="6B7280"/>
          <w:sz w:val="16"/>
          <w:szCs w:val="16"/>
        </w:rPr>
        <w:t xml:space="preserve">      gaps 13–23</w:t>
      </w:r>
    </w:p>
    <w:p>
      <w:pPr>
        <w:spacing w:before="20" w:after="20" w:line="360" w:lineRule="auto"/>
        <w:ind w:left="200"/>
      </w:pPr>
      <w:r>
        <w:rPr>
          <w:sz w:val="19"/>
          <w:szCs w:val="19"/>
        </w:rPr>
        <w:t xml:space="preserve">For Orontes, the LIFO reserve at the end of 2025 is $100,000 − $84,000 = $16,000. </w:t>
      </w:r>
      <w:r>
        <w:rPr>
          <w:sz w:val="19"/>
          <w:szCs w:val="19"/>
        </w:rPr>
        <w:t xml:space="preserve">An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can convert LIFO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to FIFO with two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t>
      </w:r>
      <w:r>
        <w:rPr>
          <w:sz w:val="19"/>
          <w:szCs w:val="19"/>
        </w:rPr>
        <w:t xml:space="preserve">FIFO inventory equals LIFO inventory plus the LIFO reserve. </w:t>
      </w:r>
      <w:r>
        <w:rPr>
          <w:sz w:val="19"/>
          <w:szCs w:val="19"/>
        </w:rPr>
        <w:t xml:space="preserve">FIFO cost of goods sold equals LIFO cost of goods sold minus the increase in the LIFO reserve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the year. </w:t>
      </w:r>
      <w:r>
        <w:rPr>
          <w:sz w:val="19"/>
          <w:szCs w:val="19"/>
        </w:rPr>
        <w:t xml:space="preserve">Orontes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the year with no reserve, so the increase is $16,000, and FIFO cost of goods sold is $288,000 − $16,000 = $272,000. </w:t>
      </w:r>
      <w:r>
        <w:rPr>
          <w:sz w:val="19"/>
          <w:szCs w:val="19"/>
        </w:rPr>
        <w:t xml:space="preserve">At an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tax rate of 25%, LIFO saved $4,000 of tax this year. </w:t>
      </w:r>
      <w:r>
        <w:rPr>
          <w:sz w:val="19"/>
          <w:szCs w:val="19"/>
        </w:rPr>
        <w:t xml:space="preserve">If a LIFO company sells more units than it buys, old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layers flow into cost of goods sold. </w:t>
      </w:r>
      <w:r>
        <w:rPr>
          <w:sz w:val="19"/>
          <w:szCs w:val="19"/>
        </w:rPr>
        <w:t xml:space="preserve"/>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rises for one year. </w:t>
      </w:r>
      <w:r>
        <w:rPr>
          <w:sz w:val="19"/>
          <w:szCs w:val="19"/>
        </w:rPr>
        <w:t xml:space="preserve">This is not a lasting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and the company should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it if it is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w:t>
      </w:r>
      <w:r>
        <w:rPr>
          <w:sz w:val="19"/>
          <w:szCs w:val="19"/>
        </w:rPr>
        <w:t xml:space="preserve">This is a U.S. tax rule.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started   ·   results   ·   low-cost   ·   illustrative   ·   liquidation   ·   analyst   ·   during   ·   material   ·   improvement   ·   Income   ·   relationships   ·   disclose</w:t>
            </w:r>
          </w:p>
        </w:tc>
      </w:tr>
    </w:tbl>
    <w:p/>
    <w:p>
      <w:pPr>
        <w:spacing w:before="44" w:after="14"/>
      </w:pPr>
      <w:r>
        <w:rPr>
          <w:b/>
          <w:bCs/>
          <w:color w:val="353A7C"/>
          <w:sz w:val="18"/>
          <w:szCs w:val="18"/>
        </w:rPr>
        <w:t xml:space="preserve">Summary 3</w:t>
      </w:r>
      <w:r>
        <w:rPr>
          <w:color w:val="6B7280"/>
          <w:sz w:val="16"/>
          <w:szCs w:val="16"/>
        </w:rPr>
        <w:t xml:space="preserve">      gaps 24–26</w:t>
      </w:r>
    </w:p>
    <w:p>
      <w:pPr>
        <w:spacing w:before="20" w:after="20" w:line="360" w:lineRule="auto"/>
        <w:ind w:left="200"/>
      </w:pPr>
      <w:r>
        <w:rPr>
          <w:sz w:val="19"/>
          <w:szCs w:val="19"/>
        </w:rPr>
        <w:t xml:space="preserve">A company that uses LIFO for its tax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must also use LIFO in its financial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w:t>
      </w:r>
      <w:r>
        <w:rPr>
          <w:sz w:val="19"/>
          <w:szCs w:val="19"/>
        </w:rPr>
        <w:t xml:space="preserve">This is why U.S. companies that want the tax benefit of LIFO also report lower LIFO profits to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low-cost   ·   return   ·   statements   ·   investors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Signs and directions</w:t>
            </w:r>
          </w:p>
        </w:tc>
      </w:tr>
    </w:tbl>
    <w:p/>
    <w:p>
      <w:pPr>
        <w:pageBreakBefore w:val="true"/>
        <w:spacing w:after="0"/>
      </w:pPr>
      <w:r>
        <w:rPr>
          <w:sz w:val="2"/>
        </w:rPr>
        <w:t xml:space="preserve"> </w:t>
      </w:r>
    </w:p>
    <w:p>
      <w:pPr>
        <w:spacing w:before="44" w:after="14"/>
      </w:pPr>
      <w:r>
        <w:rPr>
          <w:b/>
          <w:bCs/>
          <w:color w:val="353A7C"/>
          <w:sz w:val="18"/>
          <w:szCs w:val="18"/>
        </w:rPr>
        <w:t xml:space="preserve">Summary 4</w:t>
      </w:r>
      <w:r>
        <w:rPr>
          <w:color w:val="6B7280"/>
          <w:sz w:val="16"/>
          <w:szCs w:val="16"/>
        </w:rPr>
        <w:t xml:space="preserve">      gaps 27–30</w:t>
      </w:r>
    </w:p>
    <w:p>
      <w:pPr>
        <w:spacing w:before="20" w:after="20" w:line="360" w:lineRule="auto"/>
        <w:ind w:left="200"/>
      </w:pPr>
      <w:r>
        <w:rPr>
          <w:sz w:val="19"/>
          <w:szCs w:val="19"/>
        </w:rPr>
        <w:t xml:space="preserve">To get FIFO cost of goods sold,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the increase in the LIFO reserve from LIFO cost of goods sold. </w:t>
      </w:r>
      <w:r>
        <w:rPr>
          <w:sz w:val="19"/>
          <w:szCs w:val="19"/>
        </w:rPr>
        <w:t xml:space="preserve">In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prices, LIFO gives LOWER income and LOWER taxes, not higher. </w:t>
      </w:r>
      <w:r>
        <w:rPr>
          <w:sz w:val="19"/>
          <w:szCs w:val="19"/>
        </w:rPr>
        <w:t xml:space="preserve">A LIFO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raises income once. </w:t>
      </w:r>
      <w:r>
        <w:rPr>
          <w:sz w:val="19"/>
          <w:szCs w:val="19"/>
        </w:rPr>
        <w:t xml:space="preserve">Do not treat it as a better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w:t>
      </w:r>
      <w:r>
        <w:rPr>
          <w:sz w:val="19"/>
          <w:szCs w:val="19"/>
        </w:rPr>
        <w:t xml:space="preserve">Periodic and perpetual LIFO give different answers.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business   ·   SUBTRACT   ·   holding   ·   rising   ·   liquidation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Reserve does not mean reserve</w:t>
            </w:r>
          </w:p>
        </w:tc>
      </w:tr>
    </w:tbl>
    <w:p/>
    <w:p>
      <w:pPr>
        <w:spacing w:before="44" w:after="14"/>
      </w:pPr>
      <w:r>
        <w:rPr>
          <w:b/>
          <w:bCs/>
          <w:color w:val="353A7C"/>
          <w:sz w:val="18"/>
          <w:szCs w:val="18"/>
        </w:rPr>
        <w:t xml:space="preserve">Summary 5</w:t>
      </w:r>
      <w:r>
        <w:rPr>
          <w:color w:val="6B7280"/>
          <w:sz w:val="16"/>
          <w:szCs w:val="16"/>
        </w:rPr>
        <w:t xml:space="preserve">      gaps 31–32</w:t>
      </w:r>
    </w:p>
    <w:p>
      <w:pPr>
        <w:spacing w:before="20" w:after="20" w:line="360" w:lineRule="auto"/>
        <w:ind w:left="200"/>
      </w:pPr>
      <w:r>
        <w:rPr>
          <w:sz w:val="19"/>
          <w:szCs w:val="19"/>
        </w:rPr>
        <w:t xml:space="preserve">The LIFO reserve is not an </w:t>
      </w:r>
      <w:r>
        <w:rPr>
          <w:b/>
          <w:bCs/>
          <w:color w:val="8186EF"/>
          <w:sz w:val="15"/>
          <w:szCs w:val="15"/>
        </w:rPr>
        <w:t xml:space="preserve"> (31) </w:t>
      </w:r>
      <w:r>
        <w:rPr>
          <w:u w:val="single"/>
          <w:sz w:val="19"/>
          <w:szCs w:val="19"/>
        </w:rPr>
        <w:t xml:space="preserve">           </w:t>
      </w:r>
      <w:r>
        <w:rPr>
          <w:sz w:val="19"/>
          <w:szCs w:val="19"/>
        </w:rPr>
        <w:t xml:space="preserve"> </w:t>
      </w:r>
      <w:r>
        <w:rPr>
          <w:sz w:val="19"/>
          <w:szCs w:val="19"/>
        </w:rPr>
        <w:t xml:space="preserve"> reserve. </w:t>
      </w:r>
      <w:r>
        <w:rPr>
          <w:sz w:val="19"/>
          <w:szCs w:val="19"/>
        </w:rPr>
        <w:t xml:space="preserve">It is only the difference between two </w:t>
      </w:r>
      <w:r>
        <w:rPr>
          <w:b/>
          <w:bCs/>
          <w:color w:val="8186EF"/>
          <w:sz w:val="15"/>
          <w:szCs w:val="15"/>
        </w:rPr>
        <w:t xml:space="preserve"> (32) </w:t>
      </w:r>
      <w:r>
        <w:rPr>
          <w:u w:val="single"/>
          <w:sz w:val="19"/>
          <w:szCs w:val="19"/>
        </w:rPr>
        <w:t xml:space="preserve">           </w:t>
      </w:r>
      <w:r>
        <w:rPr>
          <w:sz w:val="19"/>
          <w:szCs w:val="19"/>
        </w:rPr>
        <w:t xml:space="preserve"> </w:t>
      </w:r>
      <w:r>
        <w:rPr>
          <w:sz w:val="19"/>
          <w:szCs w:val="19"/>
        </w:rPr>
        <w:t xml:space="preserve"> amounts. </w:t>
      </w:r>
      <w:r>
        <w:rPr>
          <w:sz w:val="19"/>
          <w:szCs w:val="19"/>
        </w:rPr>
        <w:t xml:space="preserve">It is sometimes called the LIFO allowance or revaluation to LIFO.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matches   ·   inventory   ·   equity</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specific identification   ·   LIFO conformity rule   ·   LIFO reserve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LIFO reserve</w:t>
            </w:r>
          </w:p>
        </w:tc>
        <w:tc>
          <w:tcPr>
            <w:tcW w:type="pct" w:w="2600"/>
            <w:tcMar>
              <w:top w:type="dxa" w:w="50"/>
              <w:left w:type="dxa" w:w="110"/>
              <w:bottom w:type="dxa" w:w="50"/>
              <w:right w:type="dxa" w:w="110"/>
            </w:tcMar>
          </w:tcPr>
          <w:p>
            <w:pPr>
              <w:spacing w:before="26" w:after="26"/>
            </w:pPr>
            <w:r>
              <w:rPr>
                <w:color w:val="232733"/>
                <w:sz w:val="16"/>
                <w:szCs w:val="16"/>
              </w:rPr>
              <w:t xml:space="preserve">احتياطي LIFO (فرق تقويم LIFO)</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LIFO liquidation</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تصفية طبقات LIFO</w:t>
            </w:r>
          </w:p>
        </w:tc>
      </w:tr>
      <w:tr>
        <w:tc>
          <w:tcPr>
            <w:tcW w:type="pct" w:w="2400"/>
            <w:tcMar>
              <w:top w:type="dxa" w:w="50"/>
              <w:left w:type="dxa" w:w="110"/>
              <w:bottom w:type="dxa" w:w="50"/>
              <w:right w:type="dxa" w:w="110"/>
            </w:tcMar>
          </w:tcPr>
          <w:p>
            <w:pPr>
              <w:spacing w:before="26" w:after="26"/>
            </w:pPr>
            <w:r>
              <w:rPr>
                <w:color w:val="232733"/>
                <w:sz w:val="16"/>
                <w:szCs w:val="16"/>
              </w:rPr>
              <w:t xml:space="preserve">LIFO conformity rule</w:t>
            </w:r>
          </w:p>
        </w:tc>
        <w:tc>
          <w:tcPr>
            <w:tcW w:type="pct" w:w="2600"/>
            <w:tcMar>
              <w:top w:type="dxa" w:w="50"/>
              <w:left w:type="dxa" w:w="110"/>
              <w:bottom w:type="dxa" w:w="50"/>
              <w:right w:type="dxa" w:w="110"/>
            </w:tcMar>
          </w:tcPr>
          <w:p>
            <w:pPr>
              <w:spacing w:before="26" w:after="26"/>
            </w:pPr>
            <w:r>
              <w:rPr>
                <w:color w:val="232733"/>
                <w:sz w:val="16"/>
                <w:szCs w:val="16"/>
              </w:rPr>
              <w:t xml:space="preserve">قاعدة التوافق الضريبي لطريقة LIFO</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gross profit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مجمل الربح</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7.4  Effects on income, taxes and assets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rising</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illustrative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different</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low-cost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cheaper</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Income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lowest</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improvement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profit</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disclose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opposite</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material</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weighted</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return</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falling</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statements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relationships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investors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strength</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SUBTRACT</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revenues</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rising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economic</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liquidation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analyst</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business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results</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equity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relationships</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during</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LIFO reserve</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started</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LIFO conformity rule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When prices are rising, the methods give very different results. FIFO puts the old, cheaper costs into cost of goods sold. So FIFO gives the lowest cost of goods sold, the highest gross profit, the highest income tax and the highest ending inventory. LIFO gives the opposite. The weighted average falls in between. When prices are falling, all these relationships reverse. Each method has a strength. LIFO matches current costs with current revenues, so its income is closer to current economic reality, but its balance sheet shows old costs. FIFO shows ending inventory close to current cost, but its income includes gains from holding inventory while prices rise. Companies that use LIFO must help readers compare them with FIFO companies. The LIFO reserve is the difference between FIFO (or current cost) inventory and LIFO inventory.</w:t>
      </w:r>
    </w:p>
    <w:p>
      <w:pPr>
        <w:spacing w:before="20" w:after="20"/>
        <w:ind w:left="240" w:hanging="240"/>
      </w:pPr>
      <w:r>
        <w:rPr>
          <w:b/>
          <w:bCs/>
          <w:color w:val="353A7C"/>
          <w:sz w:val="15"/>
          <w:szCs w:val="15"/>
        </w:rPr>
        <w:t xml:space="preserve">Summary 2   </w:t>
      </w:r>
      <w:r>
        <w:rPr>
          <w:color w:val="6B7280"/>
          <w:sz w:val="15"/>
          <w:szCs w:val="15"/>
        </w:rPr>
        <w:t xml:space="preserve">For Orontes, the LIFO reserve at the end of 2025 is $100,000 − $84,000 = $16,000. An analyst can convert LIFO results to FIFO with two relationships. FIFO inventory equals LIFO inventory plus the LIFO reserve. FIFO cost of goods sold equals LIFO cost of goods sold minus the increase in the LIFO reserve during the year. Orontes started the year with no reserve, so the increase is $16,000, and FIFO cost of goods sold is $288,000 − $16,000 = $272,000. At an illustrative tax rate of 25%, LIFO saved $4,000 of tax this year. If a LIFO company sells more units than it buys, old low-cost layers flow into cost of goods sold. Income rises for one year. This is not a lasting improvement, and the company should disclose it if it is material. This is a U.S. tax rule.</w:t>
      </w:r>
    </w:p>
    <w:p>
      <w:pPr>
        <w:spacing w:before="20" w:after="20"/>
        <w:ind w:left="240" w:hanging="240"/>
      </w:pPr>
      <w:r>
        <w:rPr>
          <w:b/>
          <w:bCs/>
          <w:color w:val="353A7C"/>
          <w:sz w:val="15"/>
          <w:szCs w:val="15"/>
        </w:rPr>
        <w:t xml:space="preserve">Summary 3   </w:t>
      </w:r>
      <w:r>
        <w:rPr>
          <w:color w:val="6B7280"/>
          <w:sz w:val="15"/>
          <w:szCs w:val="15"/>
        </w:rPr>
        <w:t xml:space="preserve">A company that uses LIFO for its tax return must also use LIFO in its financial statements. This is why U.S. companies that want the tax benefit of LIFO also report lower LIFO profits to investors.</w:t>
      </w:r>
    </w:p>
    <w:p>
      <w:pPr>
        <w:spacing w:before="20" w:after="20"/>
        <w:ind w:left="240" w:hanging="240"/>
      </w:pPr>
      <w:r>
        <w:rPr>
          <w:b/>
          <w:bCs/>
          <w:color w:val="353A7C"/>
          <w:sz w:val="15"/>
          <w:szCs w:val="15"/>
        </w:rPr>
        <w:t xml:space="preserve">Summary 4   </w:t>
      </w:r>
      <w:r>
        <w:rPr>
          <w:color w:val="6B7280"/>
          <w:sz w:val="15"/>
          <w:szCs w:val="15"/>
        </w:rPr>
        <w:t xml:space="preserve">To get FIFO cost of goods sold, SUBTRACT the increase in the LIFO reserve from LIFO cost of goods sold. In rising prices, LIFO gives LOWER income and LOWER taxes, not higher. A LIFO liquidation raises income once. Do not treat it as a better business. Periodic and perpetual LIFO give different answers.</w:t>
      </w:r>
    </w:p>
    <w:p>
      <w:pPr>
        <w:spacing w:before="20" w:after="20"/>
        <w:ind w:left="240" w:hanging="240"/>
      </w:pPr>
      <w:r>
        <w:rPr>
          <w:b/>
          <w:bCs/>
          <w:color w:val="353A7C"/>
          <w:sz w:val="15"/>
          <w:szCs w:val="15"/>
        </w:rPr>
        <w:t xml:space="preserve">Summary 5   </w:t>
      </w:r>
      <w:r>
        <w:rPr>
          <w:color w:val="6B7280"/>
          <w:sz w:val="15"/>
          <w:szCs w:val="15"/>
        </w:rPr>
        <w:t xml:space="preserve">The LIFO reserve is not an equity reserve. It is only the difference between two inventory amounts. It is sometimes called the LIFO allowance or revaluation to LIFO.</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7.5  Inventory errors</w:t>
            </w:r>
          </w:p>
          <w:p>
            <w:pPr>
              <w:spacing w:before="0" w:after="46"/>
            </w:pPr>
            <w:r>
              <w:rPr>
                <w:color w:val="E8EAF6"/>
                <w:sz w:val="16"/>
                <w:szCs w:val="16"/>
              </w:rPr>
              <w:t xml:space="preserve">Chapter 7 · section 7.5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1–11</w:t>
      </w:r>
    </w:p>
    <w:p>
      <w:pPr>
        <w:spacing w:before="20" w:after="20" w:line="360" w:lineRule="auto"/>
        <w:ind w:left="200"/>
      </w:pPr>
      <w:r>
        <w:rPr>
          <w:sz w:val="19"/>
          <w:szCs w:val="19"/>
        </w:rPr>
        <w:t xml:space="preserve">Cost of goods sold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on the count: beginning inventory plus purchases minus ending inventory. </w:t>
      </w:r>
      <w:r>
        <w:rPr>
          <w:sz w:val="19"/>
          <w:szCs w:val="19"/>
        </w:rPr>
        <w:t xml:space="preserve">If ending inventory is wrong, cost of goods sold is wrong in the same year. </w:t>
      </w:r>
      <w:r>
        <w:rPr>
          <w:sz w:val="19"/>
          <w:szCs w:val="19"/>
        </w:rPr>
        <w:t xml:space="preserve">And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this year's ending inventory is next year's beginning inventory, the error moves into the next year too. </w:t>
      </w:r>
      <w:r>
        <w:rPr>
          <w:sz w:val="19"/>
          <w:szCs w:val="19"/>
        </w:rPr>
        <w:t xml:space="preserve">At the end of 2025,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counted some goods twice, so ending inventory was overstated by 40 (USD 000). </w:t>
      </w:r>
      <w:r>
        <w:rPr>
          <w:sz w:val="19"/>
          <w:szCs w:val="19"/>
        </w:rPr>
        <w:t xml:space="preserve">Cost of goods sold was understated by 40, so pretax income was overstated by 40. </w:t>
      </w:r>
      <w:r>
        <w:rPr>
          <w:sz w:val="19"/>
          <w:szCs w:val="19"/>
        </w:rPr>
        <w:t xml:space="preserve">In 2026, beginning inventory was too high, so cost of goods sold was overstated and pretax income was understated by 40. </w:t>
      </w:r>
      <w:r>
        <w:rPr>
          <w:sz w:val="19"/>
          <w:szCs w:val="19"/>
        </w:rPr>
        <w:t xml:space="preserve">Over the two years, the two errors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earnings are overstated at the end of 2025 but correct at the end of 2026. </w:t>
      </w:r>
      <w:r>
        <w:rPr>
          <w:sz w:val="19"/>
          <w:szCs w:val="19"/>
        </w:rPr>
        <w:t xml:space="preserve">This is 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error.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the tax effect: at a 25% tax rate, net income was overstated by only 30 in the first year. </w:t>
      </w:r>
      <w:r>
        <w:rPr>
          <w:sz w:val="19"/>
          <w:szCs w:val="19"/>
        </w:rPr>
        <w:t xml:space="preserve">Errors in purchases work in 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way. </w:t>
      </w:r>
      <w:r>
        <w:rPr>
          <w:sz w:val="19"/>
          <w:szCs w:val="19"/>
        </w:rPr>
        <w:t xml:space="preserve">Row 3 is a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exam item: when 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is left out of both purchases and the count, cost of goods sold and income are still correct, but inventory and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payable are both understated.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purchase   ·   because   ·   inventory   ·   Retained   ·   cancel   ·   Orontes   ·   Remember   ·   accounts   ·   classic   ·   similar   ·   counterbalancing   ·   depends</w:t>
            </w:r>
          </w:p>
        </w:tc>
      </w:tr>
    </w:tbl>
    <w:p/>
    <w:p>
      <w:pPr>
        <w:spacing w:before="44" w:after="10"/>
      </w:pPr>
      <w:r>
        <w:rPr>
          <w:b/>
          <w:bCs/>
          <w:color w:val="353A7C"/>
          <w:sz w:val="18"/>
          <w:szCs w:val="18"/>
        </w:rPr>
        <w:t xml:space="preserve">Effects of four common inventory errors (O = overstated, U = understated)</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2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18258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1. Ending inventory overstated   ·   2. Ending inventory understated</w:t>
            </w:r>
          </w:p>
        </w:tc>
      </w:tr>
    </w:tbl>
    <w:p/>
    <w:p>
      <w:pPr>
        <w:spacing w:before="44" w:after="14"/>
      </w:pPr>
      <w:r>
        <w:rPr>
          <w:b/>
          <w:bCs/>
          <w:color w:val="353A7C"/>
          <w:sz w:val="18"/>
          <w:szCs w:val="18"/>
        </w:rPr>
        <w:t xml:space="preserve">Summary 2</w:t>
      </w:r>
      <w:r>
        <w:rPr>
          <w:color w:val="6B7280"/>
          <w:sz w:val="16"/>
          <w:szCs w:val="16"/>
        </w:rPr>
        <w:t xml:space="preserve">      gaps 13–16</w:t>
      </w:r>
    </w:p>
    <w:p>
      <w:pPr>
        <w:spacing w:before="20" w:after="20" w:line="360" w:lineRule="auto"/>
        <w:ind w:left="200"/>
      </w:pPr>
      <w:r>
        <w:rPr>
          <w:sz w:val="19"/>
          <w:szCs w:val="19"/>
        </w:rPr>
        <w:t xml:space="preserve">If a company finds an error from a prior year, it corrects the error by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the prior-year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with an adjustment to beginning retained earnings (ASC 250). </w:t>
      </w:r>
      <w:r>
        <w:rPr>
          <w:sz w:val="19"/>
          <w:szCs w:val="19"/>
        </w:rPr>
        <w:t xml:space="preserve">If the error has already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retained earnings need no adjustment, but the prior-year income figures shown for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are still restated.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comparison   ·   restating   ·   statements   ·   consignment   ·   counterbalanced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Over- and under-</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17–18</w:t>
      </w:r>
    </w:p>
    <w:p>
      <w:pPr>
        <w:spacing w:before="20" w:after="20" w:line="360" w:lineRule="auto"/>
        <w:ind w:left="200"/>
      </w:pPr>
      <w:r>
        <w:rPr>
          <w:sz w:val="19"/>
          <w:szCs w:val="19"/>
        </w:rPr>
        <w:t xml:space="preserve">Net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is overstated by 40 (the size of the error), not overstated to 940. </w:t>
      </w:r>
      <w:r>
        <w:rPr>
          <w:sz w:val="19"/>
          <w:szCs w:val="19"/>
        </w:rPr>
        <w:t xml:space="preserve">In a question, find the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for the first year, then reverse it for the second year.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correct   ·   income   ·   direction</w:t>
            </w:r>
          </w:p>
        </w:tc>
      </w:tr>
    </w:tbl>
    <w:p/>
    <w:p>
      <w:pPr>
        <w:spacing w:before="44" w:after="10"/>
      </w:pPr>
      <w:r>
        <w:rPr>
          <w:b/>
          <w:bCs/>
          <w:color w:val="353A7C"/>
          <w:sz w:val="18"/>
          <w:szCs w:val="18"/>
        </w:rPr>
        <w:t xml:space="preserve">Over- and under-</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37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37573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Jan 1   ·   M3   ·   counterbalancing error   ·   M2   ·   M1   ·   Sep 21</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COGS, line 2: 1,200 × $22</w:t>
            </w:r>
          </w:p>
        </w:tc>
        <w:tc>
          <w:tcPr>
            <w:tcW w:type="pct" w:w="2600"/>
            <w:tcMar>
              <w:top w:type="dxa" w:w="50"/>
              <w:left w:type="dxa" w:w="110"/>
              <w:bottom w:type="dxa" w:w="50"/>
              <w:right w:type="dxa" w:w="110"/>
            </w:tcMar>
          </w:tcPr>
          <w:p>
            <w:pPr>
              <w:spacing w:before="28" w:after="28"/>
            </w:pPr>
            <w:r>
              <w:rPr>
                <w:sz w:val="15"/>
                <w:szCs w:val="15"/>
              </w:rPr>
              <w:t xml:space="preserve">$26,400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Ending inventory, line 1: 300 × $22</w:t>
            </w:r>
          </w:p>
        </w:tc>
        <w:tc>
          <w:tcPr>
            <w:tcW w:type="pct" w:w="2600"/>
            <w:shd w:fill="FBFAF6" w:val="clear"/>
            <w:tcMar>
              <w:top w:type="dxa" w:w="50"/>
              <w:left w:type="dxa" w:w="110"/>
              <w:bottom w:type="dxa" w:w="50"/>
              <w:right w:type="dxa" w:w="110"/>
            </w:tcMar>
          </w:tcPr>
          <w:p>
            <w:pPr>
              <w:spacing w:before="28" w:after="28"/>
            </w:pPr>
            <w:r>
              <w:rPr>
                <w:sz w:val="15"/>
                <w:szCs w:val="15"/>
              </w:rPr>
              <w:t xml:space="preserve">$6,600</w:t>
            </w:r>
          </w:p>
        </w:tc>
      </w:tr>
      <w:tr>
        <w:tc>
          <w:tcPr>
            <w:tcW w:type="pct" w:w="2400"/>
            <w:tcMar>
              <w:top w:type="dxa" w:w="50"/>
              <w:left w:type="dxa" w:w="110"/>
              <w:bottom w:type="dxa" w:w="50"/>
              <w:right w:type="dxa" w:w="110"/>
            </w:tcMar>
          </w:tcPr>
          <w:p>
            <w:pPr>
              <w:spacing w:before="28" w:after="28"/>
            </w:pPr>
            <w:r>
              <w:rPr>
                <w:sz w:val="15"/>
                <w:szCs w:val="15"/>
              </w:rPr>
              <w:t xml:space="preserve">Ending inventory, line 2: 500 × $20</w:t>
            </w:r>
          </w:p>
        </w:tc>
        <w:tc>
          <w:tcPr>
            <w:tcW w:type="pct" w:w="2600"/>
            <w:tcMar>
              <w:top w:type="dxa" w:w="50"/>
              <w:left w:type="dxa" w:w="110"/>
              <w:bottom w:type="dxa" w:w="50"/>
              <w:right w:type="dxa" w:w="110"/>
            </w:tcMar>
          </w:tcPr>
          <w:p>
            <w:pPr>
              <w:spacing w:before="28" w:after="28"/>
            </w:pPr>
            <w:r>
              <w:rPr>
                <w:sz w:val="15"/>
                <w:szCs w:val="15"/>
              </w:rPr>
              <w:t xml:space="preserve">$10,000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Total COGS</w:t>
            </w:r>
          </w:p>
        </w:tc>
        <w:tc>
          <w:tcPr>
            <w:tcW w:type="pct" w:w="2600"/>
            <w:shd w:fill="FBFAF6" w:val="clear"/>
            <w:tcMar>
              <w:top w:type="dxa" w:w="50"/>
              <w:left w:type="dxa" w:w="110"/>
              <w:bottom w:type="dxa" w:w="50"/>
              <w:right w:type="dxa" w:w="110"/>
            </w:tcMar>
          </w:tcPr>
          <w:p>
            <w:pPr>
              <w:spacing w:before="28" w:after="28"/>
            </w:pPr>
            <w:r>
              <w:rPr>
                <w:sz w:val="15"/>
                <w:szCs w:val="15"/>
              </w:rPr>
              <w:t xml:space="preserve">$25,000 + $26,400 = $51,400</w:t>
            </w:r>
          </w:p>
        </w:tc>
      </w:tr>
      <w:tr>
        <w:tc>
          <w:tcPr>
            <w:tcW w:type="pct" w:w="2400"/>
            <w:tcMar>
              <w:top w:type="dxa" w:w="50"/>
              <w:left w:type="dxa" w:w="110"/>
              <w:bottom w:type="dxa" w:w="50"/>
              <w:right w:type="dxa" w:w="110"/>
            </w:tcMar>
          </w:tcPr>
          <w:p>
            <w:pPr>
              <w:spacing w:before="28" w:after="28"/>
            </w:pPr>
            <w:r>
              <w:rPr>
                <w:sz w:val="15"/>
                <w:szCs w:val="15"/>
              </w:rPr>
              <w:t xml:space="preserve">Total ending inventory</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(24)</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Check</w:t>
            </w:r>
          </w:p>
        </w:tc>
        <w:tc>
          <w:tcPr>
            <w:tcW w:type="pct" w:w="2600"/>
            <w:shd w:fill="FBFAF6" w:val="clear"/>
            <w:tcMar>
              <w:top w:type="dxa" w:w="50"/>
              <w:left w:type="dxa" w:w="110"/>
              <w:bottom w:type="dxa" w:w="50"/>
              <w:right w:type="dxa" w:w="110"/>
            </w:tcMar>
          </w:tcPr>
          <w:p>
            <w:pPr>
              <w:spacing w:before="28" w:after="28"/>
            </w:pPr>
            <w:r>
              <w:rPr>
                <w:sz w:val="15"/>
                <w:szCs w:val="15"/>
              </w:rPr>
              <w:t xml:space="preserve">$51,400 + $16,600 = $68,000, the cost of goods </w:t>
            </w:r>
            <w:r>
              <w:rPr>
                <w:b/>
                <w:bCs/>
                <w:color w:val="8186EF"/>
                <w:sz w:val="14"/>
                <w:szCs w:val="14"/>
              </w:rPr>
              <w:t xml:space="preserve"> (25) </w:t>
            </w:r>
            <w:r>
              <w:rPr>
                <w:u w:val="single"/>
                <w:sz w:val="15"/>
                <w:szCs w:val="15"/>
              </w:rPr>
              <w:t xml:space="preserve">              </w:t>
            </w:r>
            <w:r>
              <w:rPr>
                <w:sz w:val="15"/>
                <w:szCs w:val="15"/>
              </w:rPr>
              <w:t xml:space="preserve"> </w:t>
            </w:r>
            <w:r>
              <w:rPr>
                <w:sz w:val="15"/>
                <w:szCs w:val="15"/>
              </w:rPr>
              <w:t xml:space="preserv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$6,600 + $10,000 = $16,600   ·   available   ·   freight-out</w:t>
            </w:r>
          </w:p>
        </w:tc>
      </w:tr>
    </w:tbl>
    <w:p/>
    <w:p>
      <w:pPr>
        <w:pageBreakBefore w:val="true"/>
        <w:spacing w:after="0"/>
      </w:pPr>
      <w:r>
        <w:rPr>
          <w:sz w:val="2"/>
        </w:rPr>
        <w:t xml:space="preserve"> </w:t>
      </w:r>
    </w:p>
    <w:p>
      <w:pPr>
        <w:spacing w:before="44" w:after="10"/>
      </w:pPr>
      <w:r>
        <w:rPr>
          <w:b/>
          <w:bCs/>
          <w:color w:val="353A7C"/>
          <w:sz w:val="18"/>
          <w:szCs w:val="18"/>
        </w:rPr>
        <w:t xml:space="preserve">Memo item — Category</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182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18258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M4 (at a Doha consignee)   ·   M2 (FOB destination, sold)   ·   cost of goods sold</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تكلفة البضاعة المباعة   ·   cost of goods sold   ·   inventory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counterbalancing error</w:t>
            </w:r>
          </w:p>
        </w:tc>
        <w:tc>
          <w:tcPr>
            <w:tcW w:type="pct" w:w="2600"/>
            <w:tcMar>
              <w:top w:type="dxa" w:w="50"/>
              <w:left w:type="dxa" w:w="110"/>
              <w:bottom w:type="dxa" w:w="50"/>
              <w:right w:type="dxa" w:w="110"/>
            </w:tcMar>
          </w:tcPr>
          <w:p>
            <w:pPr>
              <w:spacing w:before="26" w:after="26"/>
            </w:pPr>
            <w:r>
              <w:rPr>
                <w:color w:val="232733"/>
                <w:sz w:val="16"/>
                <w:szCs w:val="16"/>
              </w:rPr>
              <w:t xml:space="preserve">خطأ ذاتي التصحيح (خطأ معاكس)</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7.5  Inventory errors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depends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comparison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because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income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Orontes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direction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cancel</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Jan 1</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Retained</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Sep 21</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counterbalancing</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M1</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Remember</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M2</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similar</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M3</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classic</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$6,600 + $10,000 = $16,600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purchase</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available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accounts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M2 (FOB destination, sold)</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1. Ending inventory overstated</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M4 (at a Doha consignee)</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restating</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statements</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cost of goods sold</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counterbalanced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Cost of goods sold depends on the count: beginning inventory plus purchases minus ending inventory. If ending inventory is wrong, cost of goods sold is wrong in the same year. And because this year's ending inventory is next year's beginning inventory, the error moves into the next year too. At the end of 2025, Orontes counted some goods twice, so ending inventory was overstated by 40 (USD 000). Cost of goods sold was understated by 40, so pretax income was overstated by 40. In 2026, beginning inventory was too high, so cost of goods sold was overstated and pretax income was understated by 40. Over the two years, the two errors cancel. Retained earnings are overstated at the end of 2025 but correct at the end of 2026. This is a counterbalancing error. Remember the tax effect: at a 25% tax rate, net income was overstated by only 30 in the first year. Errors in purchases work in a similar way. Row 3 is a classic exam item: when a purchase is left out of both purchases and the count, cost of goods sold and income are still correct, but inventory and accounts payable are both understated.</w:t>
      </w:r>
    </w:p>
    <w:p>
      <w:pPr>
        <w:spacing w:before="20" w:after="20"/>
        <w:ind w:left="240" w:hanging="240"/>
      </w:pPr>
      <w:r>
        <w:rPr>
          <w:b/>
          <w:bCs/>
          <w:color w:val="353A7C"/>
          <w:sz w:val="15"/>
          <w:szCs w:val="15"/>
        </w:rPr>
        <w:t xml:space="preserve">Summary 2   </w:t>
      </w:r>
      <w:r>
        <w:rPr>
          <w:color w:val="6B7280"/>
          <w:sz w:val="15"/>
          <w:szCs w:val="15"/>
        </w:rPr>
        <w:t xml:space="preserve">If a company finds an error from a prior year, it corrects the error by restating the prior-year statements, with an adjustment to beginning retained earnings (ASC 250). If the error has already counterbalanced, retained earnings need no adjustment, but the prior-year income figures shown for comparison are still restated.</w:t>
      </w:r>
    </w:p>
    <w:p>
      <w:pPr>
        <w:spacing w:before="20" w:after="20"/>
        <w:ind w:left="240" w:hanging="240"/>
      </w:pPr>
      <w:r>
        <w:rPr>
          <w:b/>
          <w:bCs/>
          <w:color w:val="353A7C"/>
          <w:sz w:val="15"/>
          <w:szCs w:val="15"/>
        </w:rPr>
        <w:t xml:space="preserve">Summary 3   </w:t>
      </w:r>
      <w:r>
        <w:rPr>
          <w:color w:val="6B7280"/>
          <w:sz w:val="15"/>
          <w:szCs w:val="15"/>
        </w:rPr>
        <w:t xml:space="preserve">Net income is overstated by 40 (the size of the error), not overstated to 940. In a question, find the direction for the first year, then reverse it for the second year.</w:t>
      </w:r>
    </w:p>
    <w:p>
      <w:pPr>
        <w:sectPr>
          <w:headerReference w:type="default" r:id="rIdHdr10"/>
          <w:pgSz w:w="11906" w:h="16838" w:orient="portrait"/>
          <w:pgMar w:top="1180" w:right="1000" w:bottom="900" w:left="1000" w:header="708" w:footer="708" w:gutter="0"/>
          <w:docGrid w:linePitch="360"/>
          <w:pgNumType w:start="1"/>
        </w:sectPr>
      </w:pPr>
    </w:p>
    <w:sectPr>
      <w:headerReference w:type="default" r:id="rIdHdr10"/>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7.1 · Which goods belong in inventory?</w:t>
          </w:r>
        </w:p>
      </w:tc>
      <w:tc>
        <w:tcPr>
          <w:tcW w:type="pct" w:w="1400"/>
          <w:tcMar>
            <w:top w:type="dxa" w:w="-30"/>
            <w:left w:type="dxa" w:w="30"/>
            <w:bottom w:type="dxa" w:w="-30"/>
            <w:right w:type="dxa" w:w="30"/>
          </w:tcMar>
        </w:tcPr>
        <w:p>
          <w:pPr>
            <w:jc w:val="right"/>
          </w:pPr>
          <w:r>
            <w:rPr>
              <w:color w:val="6B7280"/>
              <w:sz w:val="16"/>
              <w:szCs w:val="16"/>
            </w:rPr>
            <w:t xml:space="preserve">Handout 7.1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7.1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7.2 · Which costs belong in inventory?</w:t>
          </w:r>
        </w:p>
      </w:tc>
      <w:tc>
        <w:tcPr>
          <w:tcW w:type="pct" w:w="1400"/>
          <w:tcMar>
            <w:top w:type="dxa" w:w="-30"/>
            <w:left w:type="dxa" w:w="30"/>
            <w:bottom w:type="dxa" w:w="-30"/>
            <w:right w:type="dxa" w:w="30"/>
          </w:tcMar>
        </w:tcPr>
        <w:p>
          <w:pPr>
            <w:jc w:val="right"/>
          </w:pPr>
          <w:r>
            <w:rPr>
              <w:color w:val="6B7280"/>
              <w:sz w:val="16"/>
              <w:szCs w:val="16"/>
            </w:rPr>
            <w:t xml:space="preserve">Handout 7.2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7.2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7.3 · Cost flow assumptions</w:t>
          </w:r>
        </w:p>
      </w:tc>
      <w:tc>
        <w:tcPr>
          <w:tcW w:type="pct" w:w="1400"/>
          <w:tcMar>
            <w:top w:type="dxa" w:w="-30"/>
            <w:left w:type="dxa" w:w="30"/>
            <w:bottom w:type="dxa" w:w="-30"/>
            <w:right w:type="dxa" w:w="30"/>
          </w:tcMar>
        </w:tcPr>
        <w:p>
          <w:pPr>
            <w:jc w:val="right"/>
          </w:pPr>
          <w:r>
            <w:rPr>
              <w:color w:val="6B7280"/>
              <w:sz w:val="16"/>
              <w:szCs w:val="16"/>
            </w:rPr>
            <w:t xml:space="preserve">Handout 7.3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7.3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7.4 · Effects on income, taxes and assets</w:t>
          </w:r>
        </w:p>
      </w:tc>
      <w:tc>
        <w:tcPr>
          <w:tcW w:type="pct" w:w="1400"/>
          <w:tcMar>
            <w:top w:type="dxa" w:w="-30"/>
            <w:left w:type="dxa" w:w="30"/>
            <w:bottom w:type="dxa" w:w="-30"/>
            <w:right w:type="dxa" w:w="30"/>
          </w:tcMar>
        </w:tcPr>
        <w:p>
          <w:pPr>
            <w:jc w:val="right"/>
          </w:pPr>
          <w:r>
            <w:rPr>
              <w:color w:val="6B7280"/>
              <w:sz w:val="16"/>
              <w:szCs w:val="16"/>
            </w:rPr>
            <w:t xml:space="preserve">Handout 7.4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7.4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7.5 · Inventory errors</w:t>
          </w:r>
        </w:p>
      </w:tc>
      <w:tc>
        <w:tcPr>
          <w:tcW w:type="pct" w:w="1400"/>
          <w:tcMar>
            <w:top w:type="dxa" w:w="-30"/>
            <w:left w:type="dxa" w:w="30"/>
            <w:bottom w:type="dxa" w:w="-30"/>
            <w:right w:type="dxa" w:w="30"/>
          </w:tcMar>
        </w:tcPr>
        <w:p>
          <w:pPr>
            <w:jc w:val="right"/>
          </w:pPr>
          <w:r>
            <w:rPr>
              <w:color w:val="6B7280"/>
              <w:sz w:val="16"/>
              <w:szCs w:val="16"/>
            </w:rPr>
            <w:t xml:space="preserve">Handout 7.5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7.5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855fba116821b807c9ab51a62accc1d61365b658.png" Type="http://schemas.openxmlformats.org/officeDocument/2006/relationships/image"/><Relationship Id="rId102" Target="media/42dba3d6655ed6b730ca17aee695b94b39c2a2e0.png" Type="http://schemas.openxmlformats.org/officeDocument/2006/relationships/image"/><Relationship Id="rId103" Target="media/f7d1965f677c9fbe95666bdd7ac6e8576fe75753.png" Type="http://schemas.openxmlformats.org/officeDocument/2006/relationships/image"/><Relationship Id="rId104" Target="media/2b54fdcf833fe11ce0b4dc25f34d99d7e563dd72.png" Type="http://schemas.openxmlformats.org/officeDocument/2006/relationships/image"/><Relationship Id="rId105" Target="media/e2b35aaa50a5251826b899af27c7c527083e7ff0.png" Type="http://schemas.openxmlformats.org/officeDocument/2006/relationships/image"/><Relationship Id="rId106" Target="media/fba2b5ada76d7f9688f2668941cb6c8603ea7ef5.png" Type="http://schemas.openxmlformats.org/officeDocument/2006/relationships/image"/><Relationship Id="rId107" Target="media/f525dab043aa0b268e5e7845c36cd24090dfa1f2.png" Type="http://schemas.openxmlformats.org/officeDocument/2006/relationships/image"/><Relationship Id="rId108" Target="media/647e6f9a0a2afefce9e8e3680bfb8cad475ad403.png" Type="http://schemas.openxmlformats.org/officeDocument/2006/relationships/image"/><Relationship Id="rId109" Target="media/cf723f9c8f93e9a2bae680238b9bd4831ee43a6a.png" Type="http://schemas.openxmlformats.org/officeDocument/2006/relationships/image"/><Relationship Id="rId110" Target="media/5e2f42569df02f548672179510681a43a642affa.png" Type="http://schemas.openxmlformats.org/officeDocument/2006/relationships/image"/><Relationship Id="rId111" Target="media/aace9f1063881c66106365b1eabb457b06d1f8e5.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1 · Chapter 7</dc:title>
  <dc:subject>Summary handouts</dc:subject>
  <cp:category>Student Book</cp:category>
</cp:coreProperties>
</file>