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inventory</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Not depreciation. 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measure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Inventory write-downs are reversed when NRV recovers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tested first with undiscounted cash flows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7bd9cb9efaa8c86c34594fb3a0349dc54bd38fa.png" Type="http://schemas.openxmlformats.org/officeDocument/2006/relationships/image"/><Relationship Id="rId102" Target="media/78905924507a058b631ca8df57244ede084fe1de.png" Type="http://schemas.openxmlformats.org/officeDocument/2006/relationships/image"/><Relationship Id="rId103" Target="media/f44b45c7f54b9dcf93165727472834e5db074db8.png" Type="http://schemas.openxmlformats.org/officeDocument/2006/relationships/image"/><Relationship Id="rId104" Target="media/83dc32318da747d75f83d3db2042d22203aef718.png" Type="http://schemas.openxmlformats.org/officeDocument/2006/relationships/image"/><Relationship Id="rId105" Target="media/3ed5d59b43a3e22f82603bac8c25e69a83a88a35.png" Type="http://schemas.openxmlformats.org/officeDocument/2006/relationships/image"/><Relationship Id="rId106" Target="media/5edd283dfab5863e204d839239197a35ff9b2de9.png" Type="http://schemas.openxmlformats.org/officeDocument/2006/relationships/image"/><Relationship Id="rId107" Target="media/b752323eb06ec2f731295efcb3d30e782a26ff12.png" Type="http://schemas.openxmlformats.org/officeDocument/2006/relationships/image"/><Relationship Id="rId108" Target="media/70472a846834fb7d38c62ec9bfc7ad3ab2a09dc4.png" Type="http://schemas.openxmlformats.org/officeDocument/2006/relationships/image"/><Relationship Id="rId109" Target="media/644c126bd411643e0055fcc7b9e57a48d68d18fb.png" Type="http://schemas.openxmlformats.org/officeDocument/2006/relationships/image"/><Relationship Id="rId110" Target="media/50f0bfdbb2d448ec93d133d6316c99a8c46b273c.png" Type="http://schemas.openxmlformats.org/officeDocument/2006/relationships/image"/><Relationship Id="rId111" Target="media/0aa17e88f44e1e63e96df26fb552938cfe7a1fb0.png" Type="http://schemas.openxmlformats.org/officeDocument/2006/relationships/image"/><Relationship Id="rId112" Target="media/9e43ed91368c0a157409e5fba944976916516ed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