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profitable? How much does it cost to serve Barada? Each question needs a different cost object.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Wholesale   ·   profitable   ·   separate   ·   private-label   ·   Managers   ·   anything   ·   questions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cannot, so it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supervisor   ·   allocated   ·   classification   ·   administrative   ·   indirect   ·   traced   ·   inventory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paste used in job T-0303   ·   Head-office salaries   ·   Depreciation of the grinding mill   ·   Delivery of goods to Barada   ·   Factory supervisor's salary   ·   finished goods inventory   ·   Wages of operators working on job T-0303</w:t>
            </w:r>
          </w:p>
        </w:tc>
      </w:tr>
    </w:tbl>
    <w:p/>
    <w:p>
      <w:pPr>
        <w:spacing w:before="20" w:after="20" w:line="360" w:lineRule="auto"/>
        <w:ind w:left="200"/>
      </w:pPr>
      <w:r>
        <w:rPr>
          <w:sz w:val="19"/>
          <w:szCs w:val="19"/>
        </w:rPr>
        <w:t xml:space="preserve">Including distribution. It is not the U.S. product cost used for inventory.</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Sesame paste used in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 of the grinding mill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prime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assigned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needs a setup, so the number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drives setup costs. </w:t>
      </w:r>
      <w:r>
        <w:rPr>
          <w:sz w:val="19"/>
          <w:szCs w:val="19"/>
        </w:rPr>
        <w:t xml:space="preserve">The link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move with factory power costs,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 higher prices does not cause more power use. </w:t>
      </w:r>
      <w:r>
        <w:rPr>
          <w:sz w:val="19"/>
          <w:szCs w:val="19"/>
        </w:rPr>
        <w:t xml:space="preserve">A driver chosen only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different levels. </w:t>
      </w:r>
      <w:r>
        <w:rPr>
          <w:sz w:val="19"/>
          <w:szCs w:val="19"/>
        </w:rPr>
        <w:t xml:space="preserve">A volume-based cost driver rises with each unit or hour. </w:t>
      </w:r>
      <w:r>
        <w:rPr>
          <w:sz w:val="19"/>
          <w:szCs w:val="19"/>
        </w:rPr>
        <w:t xml:space="preserve">Other drivers rise with batches,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because   ·   recipe   ·   setups   ·   conditions   ·   maintenance   ·   products   ·   factor   ·   selling   ·   sesame   ·   causal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5"/>
        <w:gridCol w:w="1916"/>
        <w:gridCol w:w="3210"/>
        <w:gridCol w:w="261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998"/>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67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966"/>
            <w:tcMar>
              <w:top w:type="dxa" w:w="50"/>
              <w:left w:type="dxa" w:w="110"/>
              <w:bottom w:type="dxa" w:w="50"/>
              <w:right w:type="dxa" w:w="110"/>
            </w:tcMar>
          </w:tcPr>
          <w:p>
            <w:pPr>
              <w:spacing w:before="28" w:after="28"/>
            </w:pPr>
            <w:r>
              <w:rPr>
                <w:sz w:val="15"/>
                <w:szCs w:val="15"/>
              </w:rPr>
              <w:t xml:space="preserve">Volume-based (unit level)</w:t>
            </w:r>
          </w:p>
        </w:tc>
        <w:tc>
          <w:tcPr>
            <w:tcW w:type="pct" w:w="998"/>
            <w:tcMar>
              <w:top w:type="dxa" w:w="50"/>
              <w:left w:type="dxa" w:w="110"/>
              <w:bottom w:type="dxa" w:w="50"/>
              <w:right w:type="dxa" w:w="110"/>
            </w:tcMar>
          </w:tcPr>
          <w:p>
            <w:pPr>
              <w:spacing w:before="28" w:after="28"/>
            </w:pPr>
            <w:r>
              <w:rPr>
                <w:sz w:val="15"/>
                <w:szCs w:val="15"/>
              </w:rPr>
              <w:t xml:space="preserve">Rises with each unit or hour</w:t>
            </w:r>
          </w:p>
        </w:tc>
        <w:tc>
          <w:tcPr>
            <w:tcW w:type="pct" w:w="1672"/>
            <w:tcMar>
              <w:top w:type="dxa" w:w="50"/>
              <w:left w:type="dxa" w:w="110"/>
              <w:bottom w:type="dxa" w:w="50"/>
              <w:right w:type="dxa" w:w="110"/>
            </w:tcMar>
          </w:tcPr>
          <w:p>
            <w:pPr>
              <w:spacing w:before="28" w:after="28"/>
            </w:pPr>
            <w:r>
              <w:rPr>
                <w:sz w:val="15"/>
                <w:szCs w:val="15"/>
              </w:rPr>
              <w:t xml:space="preserve">Machine hours in grinding; direct labor hours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66"/>
            <w:shd w:fill="FBFAF6" w:val="clear"/>
            <w:tcMar>
              <w:top w:type="dxa" w:w="50"/>
              <w:left w:type="dxa" w:w="110"/>
              <w:bottom w:type="dxa" w:w="50"/>
              <w:right w:type="dxa" w:w="110"/>
            </w:tcMar>
          </w:tcPr>
          <w:p>
            <w:pPr>
              <w:spacing w:before="28" w:after="28"/>
            </w:pPr>
            <w:r>
              <w:rPr>
                <w:sz w:val="15"/>
                <w:szCs w:val="15"/>
              </w:rPr>
              <w:t xml:space="preserve">Batch level</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72"/>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364"/>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966"/>
            <w:tcMar>
              <w:top w:type="dxa" w:w="50"/>
              <w:left w:type="dxa" w:w="110"/>
              <w:bottom w:type="dxa" w:w="50"/>
              <w:right w:type="dxa" w:w="110"/>
            </w:tcMar>
          </w:tcPr>
          <w:p>
            <w:pPr>
              <w:spacing w:before="28" w:after="28"/>
            </w:pPr>
            <w:r>
              <w:rPr>
                <w:sz w:val="15"/>
                <w:szCs w:val="15"/>
              </w:rPr>
              <w:t xml:space="preserve">Product-sustaining</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72"/>
            <w:tcMar>
              <w:top w:type="dxa" w:w="50"/>
              <w:left w:type="dxa" w:w="110"/>
              <w:bottom w:type="dxa" w:w="50"/>
              <w:right w:type="dxa" w:w="110"/>
            </w:tcMar>
          </w:tcPr>
          <w:p>
            <w:pPr>
              <w:spacing w:before="28" w:after="28"/>
            </w:pPr>
            <w:r>
              <w:rPr>
                <w:sz w:val="15"/>
                <w:szCs w:val="15"/>
              </w:rPr>
              <w:t xml:space="preserve">Number of private-label recipes</w:t>
            </w:r>
          </w:p>
        </w:tc>
        <w:tc>
          <w:tcPr>
            <w:tcW w:type="pct" w:w="1364"/>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966"/>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998"/>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67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4"/>
            <w:shd w:fill="FBFAF6" w:val="clear"/>
            <w:tcMar>
              <w:top w:type="dxa" w:w="50"/>
              <w:left w:type="dxa" w:w="110"/>
              <w:bottom w:type="dxa" w:w="50"/>
              <w:right w:type="dxa" w:w="110"/>
            </w:tcMar>
          </w:tcPr>
          <w:p>
            <w:pPr>
              <w:spacing w:before="28" w:after="28"/>
            </w:pPr>
            <w:r>
              <w:rPr>
                <w:sz w:val="15"/>
                <w:szCs w:val="15"/>
              </w:rPr>
              <w:t xml:space="preserve">Weak: an allocation, not a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Strong for machine and energy costs   ·   Strong for design and label costs   ·   Rises with the number of products   ·   Rises with each batch or order   ·   Square meters of factory space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   ·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 for machine and energy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Square meters of factory space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cost system answers two questions.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Chapter 6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1</w:t>
      </w:r>
      <w:r>
        <w:rPr>
          <w:color w:val="6B7280"/>
          <w:sz w:val="16"/>
          <w:szCs w:val="16"/>
        </w:rPr>
        <w:t xml:space="preserve">      gaps 8–14</w:t>
      </w:r>
    </w:p>
    <w:p>
      <w:pPr>
        <w:spacing w:before="20" w:after="20" w:line="360" w:lineRule="auto"/>
        <w:ind w:left="200"/>
      </w:pPr>
      <w:r>
        <w:rPr>
          <w:sz w:val="19"/>
          <w:szCs w:val="19"/>
        </w:rPr>
        <w:t xml:space="preserve">Whatever the method,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Office rent at head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questions often ask for cost of goods manufactured or cost of goods sold. </w:t>
      </w:r>
      <w:r>
        <w:rPr>
          <w:sz w:val="19"/>
          <w:szCs w:val="19"/>
        </w:rPr>
        <w:t xml:space="preserve">The entries are for depth. </w:t>
      </w:r>
      <w:r>
        <w:rPr>
          <w:sz w:val="19"/>
          <w:szCs w:val="19"/>
        </w:rPr>
        <w:t xml:space="preserve">Materials: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$840,000; utilities and other costs $740,000. </w:t>
      </w:r>
      <w:r>
        <w:rPr>
          <w:sz w:val="19"/>
          <w:szCs w:val="19"/>
        </w:rPr>
        <w:t xml:space="preserve">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92,000 machine hours × $30 = $2,760,000.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balances: work in process $690,000; finished goods $1,380,000. </w:t>
      </w:r>
      <w:r>
        <w:rPr>
          <w:sz w:val="19"/>
          <w:szCs w:val="19"/>
        </w:rPr>
        <w:t xml:space="preserve">Sales and period costs: sales $8,700,000; selling expense $610,000;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expense $390,000.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Record the entries, post them,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r>
        <w:rPr>
          <w:sz w:val="19"/>
          <w:szCs w:val="19"/>
        </w:rPr>
        <w:t xml:space="preserve">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 $3,000,000 + $1,800,000 + $2,760,000 = $7,560,000.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Year-end   ·   machine   ·   purchases   ·   follows   ·   prepare   ·   schedules   ·   applied   ·   Separate   ·   depreciation   ·   accounts   ·   division's   ·   administrative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Cost of goods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$180,000 + $7,560,000 − $690,000 = $7,050,000. </w:t>
      </w:r>
      <w:r>
        <w:rPr>
          <w:sz w:val="19"/>
          <w:szCs w:val="19"/>
        </w:rPr>
        <w:t xml:space="preserve">Cost of goods sold = $420,000 + $7,050,000 − $1,380,000 = $6,090,000.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 $240,000 + $480,000 + $2,270,000 = $2,990,000, so overhead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$230,000.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utilities   ·   Actual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 and Payables</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Finished Goods Inventory   ·   Work-in-Process Inventory   ·   Direct materials   ·   Manufacturing Overhead Control   ·   Administrative Expense   ·   Accounts Receivable   ·   Selling Expense</w:t>
            </w:r>
          </w:p>
        </w:tc>
      </w:tr>
    </w:tbl>
    <w:p/>
    <w:p>
      <w:pPr>
        <w:pageBreakBefore w:val="true"/>
        <w:spacing w:after="0"/>
      </w:pPr>
      <w:r>
        <w:rPr>
          <w:sz w:val="2"/>
        </w:rPr>
        <w:t xml:space="preserve"> </w:t>
      </w:r>
    </w:p>
    <w:p>
      <w:pPr>
        <w:spacing w:before="44" w:after="10"/>
      </w:pPr>
      <w:r>
        <w:rPr>
          <w:b/>
          <w:bCs/>
          <w:color w:val="353A7C"/>
          <w:sz w:val="18"/>
          <w:szCs w:val="18"/>
        </w:rPr>
        <w:t xml:space="preserve">Extended Example: cost of goods manufactured, cost of goods sold and operating income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applied   ·   Direct materials used   ·   Add: beginning WIP   ·   Cost of goods manufactured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30–33</w:t>
      </w:r>
    </w:p>
    <w:p>
      <w:pPr>
        <w:spacing w:before="20" w:after="20" w:line="360" w:lineRule="auto"/>
        <w:ind w:left="200"/>
      </w:pPr>
      <w:r>
        <w:rPr>
          <w:sz w:val="19"/>
          <w:szCs w:val="19"/>
        </w:rPr>
        <w:t xml:space="preserve">Total debits = total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credits   ·   Ending   ·   statement   ·   Finished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34–36</w:t>
      </w:r>
    </w:p>
    <w:p>
      <w:pPr>
        <w:spacing w:before="20" w:after="20" w:line="360" w:lineRule="auto"/>
        <w:ind w:left="200"/>
      </w:pPr>
      <w:r>
        <w:rPr>
          <w:sz w:val="19"/>
          <w:szCs w:val="19"/>
        </w:rPr>
        <w:t xml:space="preserve">Expect a list of costs and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balances, and a request for cost of goods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Sort product from period costs first; then apply the two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formulas.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inventory   ·   exam-core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Sugar and flavors</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tcMar>
              <w:top w:type="dxa" w:w="50"/>
              <w:left w:type="dxa" w:w="110"/>
              <w:bottom w:type="dxa" w:w="50"/>
              <w:right w:type="dxa" w:w="110"/>
            </w:tcMar>
          </w:tcPr>
          <w:p>
            <w:pPr>
              <w:spacing w:before="28" w:after="28"/>
            </w:pPr>
            <w:r>
              <w:rPr>
                <w:sz w:val="15"/>
                <w:szCs w:val="15"/>
              </w:rPr>
              <w:t xml:space="preserve">Factory supervision</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(38)</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Finished goods: beginning / ending</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Delivery to customers   ·   Depreciation of halva equipment   ·   Jars   ·   Factory utilities   ·   Advertising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BFAF6" w:val="clear"/>
            <w:tcMar>
              <w:top w:type="dxa" w:w="50"/>
              <w:left w:type="dxa" w:w="110"/>
              <w:bottom w:type="dxa" w:w="50"/>
              <w:right w:type="dxa" w:w="110"/>
            </w:tcMar>
          </w:tcPr>
          <w:p>
            <w:pPr>
              <w:spacing w:before="28" w:after="28"/>
            </w:pPr>
            <w:r>
              <w:rPr>
                <w:sz w:val="15"/>
                <w:szCs w:val="15"/>
              </w:rPr>
              <w:t xml:space="preserve">Direct; product cost</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product cost   ·   Not a production cost; period cost   ·   Finished goods: beginning / ending</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Factory utilities   ·   Sales commissions   ·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Depreciation of halva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Delivery to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Sales 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 Expense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 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 Total manufacturing costs = $3,000,000 + $1,800,000 + $2,760,000 = $7,560,000.</w:t>
      </w:r>
    </w:p>
    <w:p>
      <w:pPr>
        <w:spacing w:before="20" w:after="20"/>
        <w:ind w:left="240" w:hanging="240"/>
      </w:pPr>
      <w:r>
        <w:rPr>
          <w:b/>
          <w:bCs/>
          <w:color w:val="353A7C"/>
          <w:sz w:val="15"/>
          <w:szCs w:val="15"/>
        </w:rPr>
        <w:t xml:space="preserve">Summary 2   </w:t>
      </w:r>
      <w:r>
        <w:rPr>
          <w:color w:val="6B7280"/>
          <w:sz w:val="15"/>
          <w:szCs w:val="15"/>
        </w:rPr>
        <w:t xml:space="preserve">Cost of goods manufactured = $180,000 + $7,560,000 − $690,000 = $7,050,000. Cost of goods sold = $420,000 + $7,050,000 − $1,380,000 = $6,090,000. Actual overhead = $240,000 + $480,000 + $2,270,000 = $2,990,000, so overhead is underapplied by $230,000.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40253f16f46f75c8cb5220e0999157e56035cd30.png" Type="http://schemas.openxmlformats.org/officeDocument/2006/relationships/image"/><Relationship Id="rId103" Target="media/70042fd090d76434f77dbe4489ab4d3080756a7d.png" Type="http://schemas.openxmlformats.org/officeDocument/2006/relationships/image"/><Relationship Id="rId104" Target="media/91f7382e40f9f3b48ea8a1388deb0d51baa89efb.png" Type="http://schemas.openxmlformats.org/officeDocument/2006/relationships/image"/><Relationship Id="rId105" Target="media/ccc593c2864bfe95f804a1204402aa7becfab304.png" Type="http://schemas.openxmlformats.org/officeDocument/2006/relationships/image"/><Relationship Id="rId106" Target="media/f44e8e3b584e97af7f77dc4caa332f64b9687775.png" Type="http://schemas.openxmlformats.org/officeDocument/2006/relationships/image"/><Relationship Id="rId107" Target="media/8d8a4489d032b9df0975f39acb45bb00c2f130b9.png" Type="http://schemas.openxmlformats.org/officeDocument/2006/relationships/image"/><Relationship Id="rId108" Target="media/28e0cefef265625bfb495b893cc240a393fca28a.png" Type="http://schemas.openxmlformats.org/officeDocument/2006/relationships/image"/><Relationship Id="rId109" Target="media/9e3a56a86e83b9f9f6bd4f1cb70352e52d5945a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dc:title>
  <dc:subject>Summary handouts</dc:subject>
  <cp:category>Student Book</cp:category>
</cp:coreProperties>
</file>