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called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rate, uses one rate and one base for all overhead.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rate gives each department its own rate and base. </w:t>
      </w:r>
      <w:r>
        <w:rPr>
          <w:sz w:val="19"/>
          <w:szCs w:val="19"/>
        </w:rPr>
        <w:t xml:space="preserve">Individual cost-driver rates go further,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Spreads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plantwide   ·   departments   ·   departmental   ·   corporate-wide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6"/>
        <w:gridCol w:w="2312"/>
        <w:gridCol w:w="1840"/>
        <w:gridCol w:w="324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14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149"/>
            <w:tcMar>
              <w:top w:type="dxa" w:w="50"/>
              <w:left w:type="dxa" w:w="110"/>
              <w:bottom w:type="dxa" w:w="50"/>
              <w:right w:type="dxa" w:w="110"/>
            </w:tcMar>
          </w:tcPr>
          <w:p>
            <w:pPr>
              <w:spacing w:before="28" w:after="28"/>
            </w:pPr>
            <w:r>
              <w:rPr>
                <w:sz w:val="15"/>
                <w:szCs w:val="15"/>
              </w:rPr>
              <w:t xml:space="preserve">Plantwide (corporate-wide) rate</w:t>
            </w:r>
          </w:p>
        </w:tc>
        <w:tc>
          <w:tcPr>
            <w:tcW w:type="pct" w:w="1204"/>
            <w:tcMar>
              <w:top w:type="dxa" w:w="50"/>
              <w:left w:type="dxa" w:w="110"/>
              <w:bottom w:type="dxa" w:w="50"/>
              <w:right w:type="dxa" w:w="110"/>
            </w:tcMar>
          </w:tcPr>
          <w:p>
            <w:pPr>
              <w:spacing w:before="28" w:after="28"/>
            </w:pPr>
            <w:r>
              <w:rPr>
                <w:sz w:val="15"/>
                <w:szCs w:val="15"/>
              </w:rPr>
              <w:t xml:space="preserve">One rate, one base for all overhead</w:t>
            </w:r>
          </w:p>
        </w:tc>
        <w:tc>
          <w:tcPr>
            <w:tcW w:type="pct" w:w="95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688"/>
            <w:tcMar>
              <w:top w:type="dxa" w:w="50"/>
              <w:left w:type="dxa" w:w="110"/>
              <w:bottom w:type="dxa" w:w="50"/>
              <w:right w:type="dxa" w:w="110"/>
            </w:tcMar>
          </w:tcPr>
          <w:p>
            <w:pPr>
              <w:spacing w:before="28" w:after="28"/>
            </w:pPr>
            <w:r>
              <w:rPr>
                <w:sz w:val="15"/>
                <w:szCs w:val="15"/>
              </w:rPr>
              <w:t xml:space="preserve">Distorts cost when departments use different drivers</w:t>
            </w:r>
          </w:p>
        </w:tc>
      </w:tr>
      <w:tr>
        <w:tc>
          <w:tcPr>
            <w:tcW w:type="pct" w:w="1149"/>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20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959"/>
            <w:shd w:fill="FBFAF6" w:val="clear"/>
            <w:tcMar>
              <w:top w:type="dxa" w:w="50"/>
              <w:left w:type="dxa" w:w="110"/>
              <w:bottom w:type="dxa" w:w="50"/>
              <w:right w:type="dxa" w:w="110"/>
            </w:tcMar>
          </w:tcPr>
          <w:p>
            <w:pPr>
              <w:spacing w:before="28" w:after="28"/>
            </w:pPr>
            <w:r>
              <w:rPr>
                <w:sz w:val="15"/>
                <w:szCs w:val="15"/>
              </w:rPr>
              <w:t xml:space="preserve">Better when departments differ</w:t>
            </w:r>
          </w:p>
        </w:tc>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49"/>
            <w:tcMar>
              <w:top w:type="dxa" w:w="50"/>
              <w:left w:type="dxa" w:w="110"/>
              <w:bottom w:type="dxa" w:w="50"/>
              <w:right w:type="dxa" w:w="110"/>
            </w:tcMar>
          </w:tcPr>
          <w:p>
            <w:pPr>
              <w:spacing w:before="28" w:after="28"/>
            </w:pPr>
            <w:r>
              <w:rPr>
                <w:sz w:val="15"/>
                <w:szCs w:val="15"/>
              </w:rPr>
              <w:t xml:space="preserve">Individual cost-driver rates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9"/>
            <w:tcMar>
              <w:top w:type="dxa" w:w="50"/>
              <w:left w:type="dxa" w:w="110"/>
              <w:bottom w:type="dxa" w:w="50"/>
              <w:right w:type="dxa" w:w="110"/>
            </w:tcMar>
          </w:tcPr>
          <w:p>
            <w:pPr>
              <w:spacing w:before="28" w:after="28"/>
            </w:pPr>
            <w:r>
              <w:rPr>
                <w:sz w:val="15"/>
                <w:szCs w:val="15"/>
              </w:rPr>
              <w:t xml:space="preserve">Most accurate</w:t>
            </w:r>
          </w:p>
        </w:tc>
        <w:tc>
          <w:tcPr>
            <w:tcW w:type="pct" w:w="1688"/>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rate for each activity (ABC, Chapter 12)   ·   More records   ·   Simple, cheap   ·   Plantwide: MH × $30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follow the real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 they give more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job costs and better prices.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consume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undercosts   ·   accurate   ·   packing-heavy   ·   departments   ·   drivers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corporate-wide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departmental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Simple, cheap</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More 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rate for each activity (ABC, Chapter 12)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cost of having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does not change with activity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depreciation   ·   components   ·   overhead</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is closed to cost of goods sold. </w:t>
      </w:r>
      <w:r>
        <w:rPr>
          <w:sz w:val="19"/>
          <w:szCs w:val="19"/>
        </w:rPr>
        <w:t xml:space="preserve">If it is material, it is spread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immaterial   ·   year-end   ·   proration   ·   balances   ·   shares   ·   include   ·   differences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applied in each balance during the current year. </w:t>
      </w:r>
      <w:r>
        <w:rPr>
          <w:sz w:val="19"/>
          <w:szCs w:val="19"/>
        </w:rPr>
        <w:t xml:space="preserve">Do not use total ending balances, and do not include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beginning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applied in ending WIP   ·   Overhead applied in ending FG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Dr MOH Applied, Dr WIP, Dr FG, Dr COGS; Cr MOH Control</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Inventories show nearer-actual cost</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tcMar>
              <w:top w:type="dxa" w:w="50"/>
              <w:left w:type="dxa" w:w="110"/>
              <w:bottom w:type="dxa" w:w="50"/>
              <w:right w:type="dxa" w:w="110"/>
            </w:tcMar>
          </w:tcPr>
          <w:p>
            <w:pPr>
              <w:spacing w:before="28" w:after="28"/>
            </w:pPr>
            <w:r>
              <w:rPr>
                <w:sz w:val="15"/>
                <w:szCs w:val="15"/>
              </w:rPr>
              <w:t xml:space="preserve">Fine if immaterial</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COGS absorbs all   ·   Applied OH   ·   All to COGS   ·   Dr MOH Applied, Dr (or Cr) COGS; Cr MOH Control   ·   Difference is material   ·   Abnormal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applied in ending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immaterial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MOH Applied, Dr (or Cr)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Simple; COGS absorbs 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prorates it, records the closing entry and compares the result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previews Book 3. </w:t>
      </w:r>
      <w:r>
        <w:rPr>
          <w:sz w:val="19"/>
          <w:szCs w:val="19"/>
        </w:rPr>
        <w:t xml:space="preserve">Rate: $30 per machine hour, set at normal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100,000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92,000 machine hours; fixed overhead $30,000 above budget; variable overhead $8,000 above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closing: work in process $690,000,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goods $1,380,000, cost of goods sold $6,090,000. </w:t>
      </w:r>
      <w:r>
        <w:rPr>
          <w:sz w:val="19"/>
          <w:szCs w:val="19"/>
        </w:rPr>
        <w:t xml:space="preserve">Find the underapplied amount and its causes, test materiality,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applied overhead, record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methods.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proration   ·   capacity   ·   prorate   ·   Compute   ·   exam-core   ·   Balances   ·   difference   ·   flexible   ·   Actual   ·   finished   ·   analyzes   ·   compare</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WIP   ·   normal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1,660,000 / 820,000   ·   Manufacturing Overhead Applied   ·   Cost of Goods Sold   ·   Totals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pageBreakBefore w:val="true"/>
        <w:spacing w:after="0"/>
      </w:pPr>
      <w:r>
        <w:rPr>
          <w:sz w:val="2"/>
        </w:rPr>
        <w:t xml:space="preserve"> </w:t>
      </w:r>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Cost of goods sold   ·   plantwide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Parts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flexible   ·   inventory   ·   Proration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Expect the applied overhead in ending WIP,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and COGS, and an under- 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amount. </w:t>
      </w:r>
      <w:r>
        <w:rPr>
          <w:sz w:val="19"/>
          <w:szCs w:val="19"/>
        </w:rPr>
        <w:t xml:space="preserve">Compute each share from applied overhead, then say whether income rises or falls compared with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compared   ·   write-off   ·   overapplied   ·   finished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1,660,000 / 820,000</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 2,400 / 12,800   ·   2% of applied overhead   ·   Depreciation of the bottling line   ·   $50 per machine hour   ·   400,000 / 900,000 / 9,000,000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 × 230,000 = 161,000   ·   20% × 230,000 = 46,000</w:t>
            </w:r>
          </w:p>
        </w:tc>
      </w:tr>
    </w:tbl>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Cleaning chemicals   ·   Service department charges   ·   Line supervisors   ·   denominator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proration   ·   normal capacity   ·   theoretical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write-off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800 / 2,400 / 12,800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prorate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Ending WIP</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Line supervisors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normal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3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f0fd4753edd1ede433e30345d3ff7ede89f52a3.png" Type="http://schemas.openxmlformats.org/officeDocument/2006/relationships/image"/><Relationship Id="rId102" Target="media/3c0dbf9b238338d484335a1a878120571a05dbf9.png" Type="http://schemas.openxmlformats.org/officeDocument/2006/relationships/image"/><Relationship Id="rId103" Target="media/8ba10845179c0f111ebf5105563b4efc8cc8c32c.png" Type="http://schemas.openxmlformats.org/officeDocument/2006/relationships/image"/><Relationship Id="rId104" Target="media/986762526fa13e1327f18933828ca4016b8203f6.png" Type="http://schemas.openxmlformats.org/officeDocument/2006/relationships/image"/><Relationship Id="rId105" Target="media/6209d2643a91b1ec594bb0321a9abde90f4c179b.png" Type="http://schemas.openxmlformats.org/officeDocument/2006/relationships/image"/><Relationship Id="rId106" Target="media/6f309ce0086927d3d9a34882ef3f66f3c6299763.png" Type="http://schemas.openxmlformats.org/officeDocument/2006/relationships/image"/><Relationship Id="rId107" Target="media/27ea0bf8257bfa6993d224e7e07520d2d5a95174.png" Type="http://schemas.openxmlformats.org/officeDocument/2006/relationships/image"/><Relationship Id="rId108" Target="media/be313951edc33825b98e4337af509955471267f8.png" Type="http://schemas.openxmlformats.org/officeDocument/2006/relationships/image"/><Relationship Id="rId109" Target="media/d942989eee1aa24d6c80637a7567608a776bc364.png" Type="http://schemas.openxmlformats.org/officeDocument/2006/relationships/image"/><Relationship Id="rId110" Target="media/f882e996ce0d3d37b32b5c3ed4a010c63a79958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8</dc:title>
  <dc:subject>Summary handouts</dc:subject>
  <cp:category>Student Book</cp:category>
</cp:coreProperties>
</file>