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costing, treats only variable manufacturing costs as product costs; fixed manufacturing overhead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r>
        <w:rPr>
          <w:sz w:val="19"/>
          <w:szCs w:val="19"/>
        </w:rPr>
        <w:t xml:space="preserve">That is the only difference. </w:t>
      </w:r>
      <w:r>
        <w:rPr>
          <w:sz w:val="19"/>
          <w:szCs w:val="19"/>
        </w:rPr>
        <w:t xml:space="preserve">Both methods treat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labor and variable overhead as product costs, and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expense   ·   administrative   ·   materials   ·   selling   ·   period   ·   direct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GAAP and IFRS require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for external reporting and tax. </w:t>
      </w:r>
      <w:r>
        <w:rPr>
          <w:sz w:val="19"/>
          <w:szCs w:val="19"/>
        </w:rPr>
        <w:t xml:space="preserve">Variable costing is an internal tool: it is not allowed in the published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absorption   ·   published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materials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contribution margin is sales minus all variable costs, 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selling. </w:t>
      </w:r>
      <w:r>
        <w:rPr>
          <w:sz w:val="19"/>
          <w:szCs w:val="19"/>
        </w:rPr>
        <w:t xml:space="preserve">It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contributes   ·   amount   ·   provide   ·   manufacturing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tcMar>
              <w:top w:type="dxa" w:w="50"/>
              <w:left w:type="dxa" w:w="110"/>
              <w:bottom w:type="dxa" w:w="50"/>
              <w:right w:type="dxa" w:w="110"/>
            </w:tcMar>
          </w:tcPr>
          <w:p>
            <w:pPr>
              <w:spacing w:before="28" w:after="28"/>
            </w:pPr>
            <w:r>
              <w:rPr>
                <w:sz w:val="15"/>
                <w:szCs w:val="15"/>
              </w:rPr>
              <w:t xml:space="preserve">Variable selling cost</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ratio   ·   Price   ·   Variable selling cost</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confuse   ·   including   ·   overhead   ·   cost-volume-profit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Contribution margin ratio</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inventory falls,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inventory times the fixed rate: $40,000, the extra fixed overhead left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in 2028 Beverages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produces   ·   releases   ·   costing   ·   Suppose   ·   change   ·   ending   ·   earlier   ·   defers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Absorption income − variable income = (ending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&gt; variable   ·   800,000 / 840,000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Absorption &gt;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Suppose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follows finished goods and cost of goods sold, and shows how income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cases;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sold 830,000; closing 60,000. </w:t>
      </w:r>
      <w:r>
        <w:rPr>
          <w:sz w:val="19"/>
          <w:szCs w:val="19"/>
        </w:rPr>
        <w:t xml:space="preserve">Costs per case: variable manufacturing $10.60; fixed overhead $2.00 at normal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variable selling $1.20; price $20.00. </w:t>
      </w:r>
      <w:r>
        <w:rPr>
          <w:sz w:val="19"/>
          <w:szCs w:val="19"/>
        </w:rPr>
        <w:t xml:space="preserve">Fixed costs: manufacturing overhead $1,800,000;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$2,100,000. </w:t>
      </w:r>
      <w:r>
        <w:rPr>
          <w:sz w:val="19"/>
          <w:szCs w:val="19"/>
        </w:rPr>
        <w:t xml:space="preserve">Record production and sales under each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finished goods and cost of goods sold, prepare both statements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incomes.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fixed overhead applied 850,000 × $2.00 = $1,700,000;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contribution margin $6,806,000 − fixed costs $3,900,000 = $2,906,000. </w:t>
      </w:r>
      <w:r>
        <w:rPr>
          <w:sz w:val="19"/>
          <w:szCs w:val="19"/>
        </w:rPr>
        <w:t xml:space="preserve">Reconciliation: (60,000 − 40,000) × $2.00 = $40,000.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responds   ·   inventory   ·   administrative   ·   Absorption   ·   multiply   ·   capacity   ·   records   ·   reconcile   ·   exam-core   ·   produced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Fixed MOH Applied</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Various accounts   ·   Cost of Goods Sold   ·   Fixed MOH Control   ·   Variable manufacturing costs   ·   Totals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Expense   ·   Finished Goods Inventory   ·   Totals   ·   Variable manufacturing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21–23</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   Opening   ·   Income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Expect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sales and cost data, and a request for income under one method or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between them. </w:t>
      </w:r>
      <w:r>
        <w:rPr>
          <w:sz w:val="19"/>
          <w:szCs w:val="19"/>
        </w:rPr>
        <w:t xml:space="preserve">Find the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units first; multiply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reconcile   ·   production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manufacturing overhead (budget = actual)</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tcMar>
              <w:top w:type="dxa" w:w="50"/>
              <w:left w:type="dxa" w:w="110"/>
              <w:bottom w:type="dxa" w:w="50"/>
              <w:right w:type="dxa" w:w="110"/>
            </w:tcMar>
          </w:tcPr>
          <w:p>
            <w:pPr>
              <w:spacing w:before="28" w:after="28"/>
            </w:pPr>
            <w:r>
              <w:rPr>
                <w:sz w:val="15"/>
                <w:szCs w:val="15"/>
              </w:rPr>
              <w:t xml:space="preserve">Normal capacity (denominator)</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Trays produced / sold (no opening inventory)</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Product cost under both methods   ·   Variable selling cost per tray   ·   Selling price per tray   ·   Variable manufacturing cost per tray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tcMar>
              <w:top w:type="dxa" w:w="50"/>
              <w:left w:type="dxa" w:w="110"/>
              <w:bottom w:type="dxa" w:w="50"/>
              <w:right w:type="dxa" w:w="110"/>
            </w:tcMar>
          </w:tcPr>
          <w:p>
            <w:pPr>
              <w:spacing w:before="28" w:after="28"/>
            </w:pPr>
            <w:r>
              <w:rPr>
                <w:sz w:val="15"/>
                <w:szCs w:val="15"/>
              </w:rPr>
              <w:t xml:space="preserve">(40,000) × $2.00 = (80,000)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Various accounts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under both methods   ·   Which method shows higher income?   ·   Product cost under absorption only   ·   Product cost under both methods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contribution margin   ·   production-volume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Selling price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Variable manufacturing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w:t>
      </w:r>
    </w:p>
    <w:p>
      <w:pPr>
        <w:spacing w:before="20" w:after="20"/>
        <w:ind w:left="240" w:hanging="240"/>
      </w:pPr>
      <w:r>
        <w:rPr>
          <w:b/>
          <w:bCs/>
          <w:color w:val="353A7C"/>
          <w:sz w:val="15"/>
          <w:szCs w:val="15"/>
        </w:rPr>
        <w:t xml:space="preserve">Summary 2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3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b68ea052bdec49a020ff911eacf2a16e0c4039b.png" Type="http://schemas.openxmlformats.org/officeDocument/2006/relationships/image"/><Relationship Id="rId102" Target="media/9bc1ed31aad4dd09a70cbf097c425cf2c5b9c49a.png" Type="http://schemas.openxmlformats.org/officeDocument/2006/relationships/image"/><Relationship Id="rId103" Target="media/344e65bf7c7edb47f55032cdff0878a43b42d5a7.png" Type="http://schemas.openxmlformats.org/officeDocument/2006/relationships/image"/><Relationship Id="rId104" Target="media/0d6dbf37fd83075f3178e222624db1a35134ac2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9</dc:title>
  <dc:subject>Summary handouts</dc:subject>
  <cp:category>Student Book</cp:category>
</cp:coreProperties>
</file>