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one volume measure,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spreads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resources   ·   Activity-based   ·   product   ·   drivers   ·   second   ·   measure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Pool total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resource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receive   ·   Lentils</w:t>
            </w:r>
          </w:p>
        </w:tc>
      </w:tr>
    </w:tbl>
    <w:p/>
    <w:p>
      <w:pPr>
        <w:spacing w:before="44" w:after="10"/>
      </w:pPr>
      <w:r>
        <w:rPr>
          <w:b/>
          <w:bCs/>
          <w:color w:val="353A7C"/>
          <w:sz w:val="18"/>
          <w:szCs w:val="18"/>
        </w:rPr>
        <w:t xml:space="preserve">Worked example: activity rates and ABC overhead for lentils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Packaging   ·   Facility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17"/>
        <w:gridCol w:w="2890"/>
        <w:gridCol w:w="1091"/>
        <w:gridCol w:w="170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04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505"/>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886"/>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040"/>
            <w:tcMar>
              <w:top w:type="dxa" w:w="50"/>
              <w:left w:type="dxa" w:w="110"/>
              <w:bottom w:type="dxa" w:w="50"/>
              <w:right w:type="dxa" w:w="110"/>
            </w:tcMar>
          </w:tcPr>
          <w:p>
            <w:pPr>
              <w:spacing w:before="28" w:after="28"/>
            </w:pPr>
            <w:r>
              <w:rPr>
                <w:sz w:val="15"/>
                <w:szCs w:val="15"/>
              </w:rPr>
              <w:t xml:space="preserve">Receiving and cleaning</w:t>
            </w:r>
          </w:p>
        </w:tc>
        <w:tc>
          <w:tcPr>
            <w:tcW w:type="pct" w:w="1505"/>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886"/>
            <w:tcMar>
              <w:top w:type="dxa" w:w="50"/>
              <w:left w:type="dxa" w:w="110"/>
              <w:bottom w:type="dxa" w:w="50"/>
              <w:right w:type="dxa" w:w="110"/>
            </w:tcMar>
          </w:tcPr>
          <w:p>
            <w:pPr>
              <w:spacing w:before="28" w:after="28"/>
            </w:pPr>
            <w:r>
              <w:rPr>
                <w:sz w:val="15"/>
                <w:szCs w:val="15"/>
              </w:rPr>
              <w:t xml:space="preserve">120,000</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886"/>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040"/>
            <w:tcMar>
              <w:top w:type="dxa" w:w="50"/>
              <w:left w:type="dxa" w:w="110"/>
              <w:bottom w:type="dxa" w:w="50"/>
              <w:right w:type="dxa" w:w="110"/>
            </w:tcMar>
          </w:tcPr>
          <w:p>
            <w:pPr>
              <w:spacing w:before="28" w:after="28"/>
            </w:pPr>
            <w:r>
              <w:rPr>
                <w:sz w:val="15"/>
                <w:szCs w:val="15"/>
              </w:rPr>
              <w:t xml:space="preserve">Packaging</w:t>
            </w:r>
          </w:p>
        </w:tc>
        <w:tc>
          <w:tcPr>
            <w:tcW w:type="pct" w:w="1505"/>
            <w:tcMar>
              <w:top w:type="dxa" w:w="50"/>
              <w:left w:type="dxa" w:w="110"/>
              <w:bottom w:type="dxa" w:w="50"/>
              <w:right w:type="dxa" w:w="110"/>
            </w:tcMar>
          </w:tcPr>
          <w:p>
            <w:pPr>
              <w:spacing w:before="28" w:after="28"/>
            </w:pPr>
            <w:r>
              <w:rPr>
                <w:sz w:val="15"/>
                <w:szCs w:val="15"/>
              </w:rPr>
              <w:t xml:space="preserve">2,000 packing hours</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886"/>
            <w:tcMar>
              <w:top w:type="dxa" w:w="50"/>
              <w:left w:type="dxa" w:w="110"/>
              <w:bottom w:type="dxa" w:w="50"/>
              <w:right w:type="dxa" w:w="110"/>
            </w:tcMar>
          </w:tcPr>
          <w:p>
            <w:pPr>
              <w:spacing w:before="28" w:after="28"/>
            </w:pPr>
            <w:r>
              <w:rPr>
                <w:sz w:val="15"/>
                <w:szCs w:val="15"/>
              </w:rPr>
              <w:t xml:space="preserve">________</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886"/>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040"/>
            <w:tcMar>
              <w:top w:type="dxa" w:w="50"/>
              <w:left w:type="dxa" w:w="110"/>
              <w:bottom w:type="dxa" w:w="50"/>
              <w:right w:type="dxa" w:w="110"/>
            </w:tcMar>
          </w:tcPr>
          <w:p>
            <w:pPr>
              <w:spacing w:before="28" w:after="28"/>
            </w:pPr>
            <w:r>
              <w:rPr>
                <w:sz w:val="15"/>
                <w:szCs w:val="15"/>
              </w:rPr>
              <w:t xml:space="preserve">Facility</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886"/>
            <w:tcMar>
              <w:top w:type="dxa" w:w="50"/>
              <w:left w:type="dxa" w:w="110"/>
              <w:bottom w:type="dxa" w:w="50"/>
              <w:right w:type="dxa" w:w="110"/>
            </w:tcMar>
          </w:tcPr>
          <w:p>
            <w:pPr>
              <w:spacing w:before="28" w:after="28"/>
            </w:pPr>
            <w:r>
              <w:rPr>
                <w:sz w:val="15"/>
                <w:szCs w:val="15"/>
              </w:rPr>
              <w:t xml:space="preserve">________</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Total</w:t>
            </w:r>
          </w:p>
        </w:tc>
        <w:tc>
          <w:tcPr>
            <w:tcW w:type="pct" w:w="1505"/>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886"/>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pallet positions   ·   1,200 tests   ·   800 setups   ·   product-sustaining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rises from $3.60 to $10.84.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overhead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2"/>
        <w:gridCol w:w="953"/>
        <w:gridCol w:w="1722"/>
        <w:gridCol w:w="868"/>
        <w:gridCol w:w="895"/>
        <w:gridCol w:w="886"/>
        <w:gridCol w:w="966"/>
        <w:gridCol w:w="993"/>
        <w:gridCol w:w="1145"/>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7"/>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461"/>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596"/>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46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596"/>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7"/>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461"/>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596"/>
            <w:shd w:fill="FBFAF6" w:val="clear"/>
            <w:tcMar>
              <w:top w:type="dxa" w:w="50"/>
              <w:left w:type="dxa" w:w="110"/>
              <w:bottom w:type="dxa" w:w="50"/>
              <w:right w:type="dxa" w:w="110"/>
            </w:tcMar>
          </w:tcPr>
          <w:p>
            <w:pPr>
              <w:spacing w:before="28" w:after="28"/>
            </w:pPr>
            <w:r>
              <w:rPr>
                <w:sz w:val="15"/>
                <w:szCs w:val="15"/>
              </w:rPr>
              <w:t xml:space="preserve">($4.04)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   ($0.30)   ·   $1.50 + $1.20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1,200 tests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complexity. </w:t>
      </w:r>
      <w:r>
        <w:rPr>
          <w:sz w:val="19"/>
          <w:szCs w:val="19"/>
        </w:rPr>
        <w:t xml:space="preserve">It shows batch-level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that a volume rate hides. </w:t>
      </w:r>
      <w:r>
        <w:rPr>
          <w:sz w:val="19"/>
          <w:szCs w:val="19"/>
        </w:rPr>
        <w:t xml:space="preserve">It also links cost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managers can change. </w:t>
      </w:r>
      <w:r>
        <w:rPr>
          <w:sz w:val="19"/>
          <w:szCs w:val="19"/>
        </w:rPr>
        <w:t xml:space="preserve">It needs data on many drivers,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design the pools, and regular updates. </w:t>
      </w:r>
      <w:r>
        <w:rPr>
          <w:sz w:val="19"/>
          <w:szCs w:val="19"/>
        </w:rPr>
        <w:t xml:space="preserve">Facility costs are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without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accurate   ·   activities   ·   allocated   ·   judgment   ·   product-sustaining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product-sustaining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&amp; Spices line with ABC, from overhead to cost of goods sold. </w:t>
      </w:r>
      <w:r>
        <w:rPr>
          <w:sz w:val="19"/>
          <w:szCs w:val="19"/>
        </w:rPr>
        <w:t xml:space="preserve">The product costs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check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Overhead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finished goods $142,550.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Output   ·   balance   ·   ending   ·   applied   ·   application   ·   accounts   ·   Pulses   ·   materials   ·   exam-core   ·   lentils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MOH Control   ·   Various accounts   ·   Finished Goods   ·   WIP - Pulses &amp; Spices   ·   Quality tests   ·   Wages Payable   ·   MOH Applied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products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Expect pool costs, driver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quantity   ·   Compute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operations   ·   Recipe design (traced)   ·   Setups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tcMar>
              <w:top w:type="dxa" w:w="50"/>
              <w:left w:type="dxa" w:w="110"/>
              <w:bottom w:type="dxa" w:w="50"/>
              <w:right w:type="dxa" w:w="110"/>
            </w:tcMar>
          </w:tcPr>
          <w:p>
            <w:pPr>
              <w:spacing w:before="28" w:after="28"/>
            </w:pPr>
            <w:r>
              <w:rPr>
                <w:sz w:val="15"/>
                <w:szCs w:val="15"/>
              </w:rPr>
              <w:t xml:space="preserve">2,000 packing hours × $30 = $60,000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pallet positions × $100 = $50,000   ·   2,000 packing hours × $30 = $60,000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Unit-level   ·   Batch-level   ·   setups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Recipe design (traced)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500 pallet positions × $100 =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activity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6c34d01c3bc2abd0bba86ac5351a8c8631df13e.png" Type="http://schemas.openxmlformats.org/officeDocument/2006/relationships/image"/><Relationship Id="rId102" Target="media/f62ee32ad2e08a5c90cab521b6df2224e1b9ff2f.png" Type="http://schemas.openxmlformats.org/officeDocument/2006/relationships/image"/><Relationship Id="rId103" Target="media/8337e1794d61ff8de69c41f0f7db7e8fe4007172.png" Type="http://schemas.openxmlformats.org/officeDocument/2006/relationships/image"/><Relationship Id="rId104" Target="media/517abb8d8a0dd6afecb8f34399654b925381cb9f.png" Type="http://schemas.openxmlformats.org/officeDocument/2006/relationships/image"/><Relationship Id="rId105" Target="media/abfe8ca15def9219b0a98866ad4ab69f7dbd0581.png" Type="http://schemas.openxmlformats.org/officeDocument/2006/relationships/image"/><Relationship Id="rId106" Target="media/0d23f1df9709f1b94cc749d11b3fe32e37b3a5fd.png" Type="http://schemas.openxmlformats.org/officeDocument/2006/relationships/image"/><Relationship Id="rId107" Target="media/b4d2c58fa5cb1daa7d663bf176d0f90d48bb6560.png" Type="http://schemas.openxmlformats.org/officeDocument/2006/relationships/image"/><Relationship Id="rId108" Target="media/985d489bed165d51cb8c9865bbc8746fad380ca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12</dc:title>
  <dc:subject>Summary handouts</dc:subject>
  <cp:category>Student Book</cp:category>
</cp:coreProperties>
</file>