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budgeting starts from zero every year: each activity must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management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figures   ·   packages   ·   subtracts   ·   discretionary   ·   Zero-based   ·   head-office   ·   justified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of each package. </w:t>
      </w:r>
      <w:r>
        <w:rPr>
          <w:sz w:val="19"/>
          <w:szCs w:val="19"/>
        </w:rPr>
        <w:t xml:space="preserve">An answer that adds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amounts,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   requested   ·   approved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requested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 planned 900,000 cases for 2028. </w:t>
      </w:r>
      <w:r>
        <w:rPr>
          <w:sz w:val="19"/>
          <w:szCs w:val="19"/>
        </w:rPr>
        <w:t xml:space="preserve">In March, the first quarter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December   ·   dropped   ·   finished   ·   usually   ·   continuous   ·   fast-changing   ·   targets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budgeting   ·   (done)</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finished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costs with what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been at the actual volume.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prepared   ·   should   ·   compare   ·   activity   ·   Beverages   ·   flexible   ·   static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At 75,000 cases, sales are $1,500,000,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Complete the blank cells. </w:t>
      </w:r>
      <w:r>
        <w:rPr>
          <w:sz w:val="19"/>
          <w:szCs w:val="19"/>
        </w:rPr>
        <w:t xml:space="preserve">Each extra case adds $8.20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because fixed costs do not change. </w:t>
      </w:r>
      <w:r>
        <w:rPr>
          <w:sz w:val="19"/>
          <w:szCs w:val="19"/>
        </w:rPr>
        <w:t xml:space="preserve">The flexible budget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therefore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therefore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799"/>
        <w:gridCol w:w="15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1979"/>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821"/>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821"/>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821"/>
            <w:shd w:fill="FBFAF6" w:val="clear"/>
            <w:tcMar>
              <w:top w:type="dxa" w:w="50"/>
              <w:left w:type="dxa" w:w="110"/>
              <w:bottom w:type="dxa" w:w="50"/>
              <w:right w:type="dxa" w:w="110"/>
            </w:tcMar>
          </w:tcPr>
          <w:p>
            <w:pPr>
              <w:spacing w:before="28" w:after="28"/>
            </w:pPr>
            <w:r>
              <w:rPr>
                <w:sz w:val="15"/>
                <w:szCs w:val="15"/>
              </w:rPr>
              <w:t xml:space="preserve">Beverages sales</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21"/>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1979"/>
            <w:shd w:fill="FBFAF6" w:val="clear"/>
            <w:tcMar>
              <w:top w:type="dxa" w:w="50"/>
              <w:left w:type="dxa" w:w="110"/>
              <w:bottom w:type="dxa" w:w="50"/>
              <w:right w:type="dxa" w:w="110"/>
            </w:tcMar>
          </w:tcPr>
          <w:p>
            <w:pPr>
              <w:spacing w:before="28" w:after="28"/>
            </w:pPr>
            <w:r>
              <w:rPr>
                <w:sz w:val="15"/>
                <w:szCs w:val="15"/>
              </w:rPr>
              <w:t xml:space="preserve">Project budget (Chapter 4)</w:t>
            </w:r>
          </w:p>
        </w:tc>
        <w:tc>
          <w:tcPr>
            <w:tcW w:type="pct" w:w="82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21"/>
            <w:tcMar>
              <w:top w:type="dxa" w:w="50"/>
              <w:left w:type="dxa" w:w="110"/>
              <w:bottom w:type="dxa" w:w="50"/>
              <w:right w:type="dxa" w:w="110"/>
            </w:tcMar>
          </w:tcPr>
          <w:p>
            <w:pPr>
              <w:spacing w:before="28" w:after="28"/>
            </w:pPr>
            <w:r>
              <w:rPr>
                <w:sz w:val="15"/>
                <w:szCs w:val="15"/>
              </w:rPr>
              <w:t xml:space="preserve">Pulses &amp; Spices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   Beverages sales   ·   Zero-based budget   ·   Flexible budget   ·   Continuous (rolling) budget   ·   Activity-based budget (Chapter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49"/>
        <w:gridCol w:w="4084"/>
        <w:gridCol w:w="33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9"/>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2127"/>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175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9"/>
            <w:tcMar>
              <w:top w:type="dxa" w:w="50"/>
              <w:left w:type="dxa" w:w="110"/>
              <w:bottom w:type="dxa" w:w="50"/>
              <w:right w:type="dxa" w:w="110"/>
            </w:tcMar>
          </w:tcPr>
          <w:p>
            <w:pPr>
              <w:spacing w:before="28" w:after="28"/>
            </w:pPr>
            <w:r>
              <w:rPr>
                <w:sz w:val="15"/>
                <w:szCs w:val="15"/>
              </w:rPr>
              <w:t xml:space="preserve">Zero-based</w:t>
            </w:r>
          </w:p>
        </w:tc>
        <w:tc>
          <w:tcPr>
            <w:tcW w:type="pct" w:w="21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754"/>
            <w:tcMar>
              <w:top w:type="dxa" w:w="50"/>
              <w:left w:type="dxa" w:w="110"/>
              <w:bottom w:type="dxa" w:w="50"/>
              <w:right w:type="dxa" w:w="110"/>
            </w:tcMar>
          </w:tcPr>
          <w:p>
            <w:pPr>
              <w:spacing w:before="28" w:after="28"/>
            </w:pPr>
            <w:r>
              <w:rPr>
                <w:sz w:val="15"/>
                <w:szCs w:val="15"/>
              </w:rPr>
              <w:t xml:space="preserve">Takes much time; managers may resist</w:t>
            </w:r>
          </w:p>
        </w:tc>
      </w:tr>
      <w:tr>
        <w:tc>
          <w:tcPr>
            <w:tcW w:type="pct" w:w="1119"/>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2127"/>
            <w:shd w:fill="FBFAF6" w:val="clear"/>
            <w:tcMar>
              <w:top w:type="dxa" w:w="50"/>
              <w:left w:type="dxa" w:w="110"/>
              <w:bottom w:type="dxa" w:w="50"/>
              <w:right w:type="dxa" w:w="110"/>
            </w:tcMar>
          </w:tcPr>
          <w:p>
            <w:pPr>
              <w:spacing w:before="28" w:after="28"/>
            </w:pPr>
            <w:r>
              <w:rPr>
                <w:sz w:val="15"/>
                <w:szCs w:val="15"/>
              </w:rPr>
              <w:t xml:space="preserve">Always up to date; always a year ahead</w:t>
            </w:r>
          </w:p>
        </w:tc>
        <w:tc>
          <w:tcPr>
            <w:tcW w:type="pct" w:w="175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119"/>
            <w:tcMar>
              <w:top w:type="dxa" w:w="50"/>
              <w:left w:type="dxa" w:w="110"/>
              <w:bottom w:type="dxa" w:w="50"/>
              <w:right w:type="dxa" w:w="110"/>
            </w:tcMar>
          </w:tcPr>
          <w:p>
            <w:pPr>
              <w:spacing w:before="28" w:after="28"/>
            </w:pPr>
            <w:r>
              <w:rPr>
                <w:sz w:val="15"/>
                <w:szCs w:val="15"/>
              </w:rPr>
              <w:t xml:space="preserve">Flexible</w:t>
            </w:r>
          </w:p>
        </w:tc>
        <w:tc>
          <w:tcPr>
            <w:tcW w:type="pct" w:w="2127"/>
            <w:tcMar>
              <w:top w:type="dxa" w:w="50"/>
              <w:left w:type="dxa" w:w="110"/>
              <w:bottom w:type="dxa" w:w="50"/>
              <w:right w:type="dxa" w:w="110"/>
            </w:tcMar>
          </w:tcPr>
          <w:p>
            <w:pPr>
              <w:spacing w:before="28" w:after="28"/>
            </w:pPr>
            <w:r>
              <w:rPr>
                <w:sz w:val="15"/>
                <w:szCs w:val="15"/>
              </w:rPr>
              <w:t xml:space="preserve">Fair comparison at the actual volume</w:t>
            </w:r>
          </w:p>
        </w:tc>
        <w:tc>
          <w:tcPr>
            <w:tcW w:type="pct" w:w="1754"/>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waste; questions every cost   ·   Needs reliable cost formulas; mixed costs must be split   ·   Constant work; targets keep moving   ·   One large investment over more than a year</w:t>
            </w:r>
          </w:p>
        </w:tc>
      </w:tr>
    </w:tbl>
    <w:p/>
    <w:p>
      <w:pPr>
        <w:spacing w:before="44" w:after="14"/>
      </w:pPr>
      <w:r>
        <w:rPr>
          <w:b/>
          <w:bCs/>
          <w:color w:val="353A7C"/>
          <w:sz w:val="18"/>
          <w:szCs w:val="18"/>
        </w:rPr>
        <w:t xml:space="preserve">Summary 1</w:t>
      </w:r>
      <w:r>
        <w:rPr>
          <w:color w:val="6B7280"/>
          <w:sz w:val="16"/>
          <w:szCs w:val="16"/>
        </w:rPr>
        <w:t xml:space="preserve">      gaps 9–11</w:t>
      </w:r>
    </w:p>
    <w:p>
      <w:pPr>
        <w:spacing w:before="20" w:after="20" w:line="360" w:lineRule="auto"/>
        <w:ind w:left="200"/>
      </w:pPr>
      <w:r>
        <w:rPr>
          <w:sz w:val="19"/>
          <w:szCs w:val="19"/>
        </w:rPr>
        <w:t xml:space="preserve">Systems are often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reviews head office 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zero-based   ·   combined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static budget   ·   zero-based budgeting   ·   continuous (rolling) budget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Needs reliable cost formulas; mixed costs must be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Continuous (rolling)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 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zero-based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Activity-based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Removes waste; questions every cost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Constant work; targets keep moving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and the answer must include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contribution   ·   measure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a year   ·   Contribution   ·   Increase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Multiplying the old volume by the new margin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proposes   ·   ignores   ·   overstates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Cases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overstates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042"/>
            <w:tcMar>
              <w:top w:type="dxa" w:w="50"/>
              <w:left w:type="dxa" w:w="110"/>
              <w:bottom w:type="dxa" w:w="50"/>
              <w:right w:type="dxa" w:w="110"/>
            </w:tcMar>
          </w:tcPr>
          <w:p>
            <w:pPr>
              <w:spacing w:before="28" w:after="28"/>
            </w:pPr>
            <w:r>
              <w:rPr>
                <w:sz w:val="15"/>
                <w:szCs w:val="15"/>
              </w:rPr>
              <w:t xml:space="preserve">Head office</w:t>
            </w:r>
          </w:p>
        </w:tc>
        <w:tc>
          <w:tcPr>
            <w:tcW w:type="pct" w:w="758"/>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$1,100,000, saving $148,000 against last year + 4%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Next four quarters 910,000 cases after the March update</w:t>
            </w:r>
          </w:p>
        </w:tc>
      </w:tr>
      <w:tr>
        <w:tc>
          <w:tcPr>
            <w:tcW w:type="pct" w:w="2042"/>
            <w:tcMar>
              <w:top w:type="dxa" w:w="50"/>
              <w:left w:type="dxa" w:w="110"/>
              <w:bottom w:type="dxa" w:w="50"/>
              <w:right w:type="dxa" w:w="110"/>
            </w:tcMar>
          </w:tcPr>
          <w:p>
            <w:pPr>
              <w:spacing w:before="28" w:after="28"/>
            </w:pPr>
            <w:r>
              <w:rPr>
                <w:sz w:val="15"/>
                <w:szCs w:val="15"/>
              </w:rPr>
              <w:t xml:space="preserve">Beverages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$350,000 a month + $11.80 a case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Price +5%: contribution margin +$651,600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analysis   ·   Approved   ·   Rolling (quarterly)   ·   Flexible   ·   Price +5%</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The four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December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total 900,000 cases, the volume agreed.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manufacturing   ·   quarters   ·   Pricing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14–17</w:t>
      </w:r>
    </w:p>
    <w:p>
      <w:pPr>
        <w:spacing w:before="20" w:after="20" w:line="360" w:lineRule="auto"/>
        <w:ind w:left="200"/>
      </w:pPr>
      <w:r>
        <w:rPr>
          <w:sz w:val="19"/>
          <w:szCs w:val="19"/>
        </w:rPr>
        <w:t xml:space="preserve">Expect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effect of a price, volume or cost change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80,000 × $8.20 = $656,000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Rolling (quarterly)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793eb13b4c2f813194bec34495465d3e05f818.png" Type="http://schemas.openxmlformats.org/officeDocument/2006/relationships/image"/><Relationship Id="rId102" Target="media/cde613ce3e8b821553e627da72c418e0e1058223.png" Type="http://schemas.openxmlformats.org/officeDocument/2006/relationships/image"/><Relationship Id="rId103" Target="media/e8f072cb31aebcaae63f2a8b9dfbf3fbd3c968a5.png" Type="http://schemas.openxmlformats.org/officeDocument/2006/relationships/image"/><Relationship Id="rId104" Target="media/e2b87f517937145132bba28cb9cfa3e67508cd31.png" Type="http://schemas.openxmlformats.org/officeDocument/2006/relationships/image"/><Relationship Id="rId105" Target="media/9a0877fe312d2baba04b4df492840ef55f741f2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5</dc:title>
  <dc:subject>Summary handouts</dc:subject>
  <cp:category>Student Book</cp:category>
</cp:coreProperties>
</file>