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From production to inputs</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direct labor budget   ·   Extended Example 7A: the manufacturing cost bu   ·   The direct materials budget</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Every input budget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from the production budget, not the sales budget,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materials and labor are used when cases are filled, not when they are sold. </w:t>
      </w:r>
      <w:r>
        <w:rPr>
          <w:sz w:val="19"/>
          <w:szCs w:val="19"/>
        </w:rPr>
        <w:t xml:space="preserve">For each input, the budget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cases to produce by the quantity per case: liters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labor hours and machine hours. </w:t>
      </w:r>
      <w:r>
        <w:rPr>
          <w:sz w:val="19"/>
          <w:szCs w:val="19"/>
        </w:rPr>
        <w:t xml:space="preserve">Machine hours then drive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overhead, while fixed overhead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item by item. </w:t>
      </w:r>
      <w:r>
        <w:rPr>
          <w:sz w:val="19"/>
          <w:szCs w:val="19"/>
        </w:rPr>
        <w:t xml:space="preserve">The link runs both ways. </w:t>
      </w:r>
      <w:r>
        <w:rPr>
          <w:sz w:val="19"/>
          <w:szCs w:val="19"/>
        </w:rPr>
        <w:t xml:space="preserve">If an input budget shows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materials, labor or machine time, the production budget,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sales budget, must be changed.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multiplies   ·   shortage   ·   budgeted   ·   starts   ·   perhaps   ·   because   ·   variable   ·   concentrate   ·   overhead</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From production to inputs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direct labor budget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Extended Example 7A: the manufacturing cost bu</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shortage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multiplies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perhaps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input budget starts from the production budget, not the sales budget, because materials and labor are used when cases are filled, not when they are sold. For each input, the budget multiplies the cases to produce by the quantity per case: liters of concentrate, labor hours and machine hours. Machine hours then drive the variable overhead, while fixed overhead is budgeted item by item. The link runs both ways. If an input budget shows a shortage of materials, labor or machine time, the production budget, and perhaps the sales budget, must be changed.</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The direct materials budget</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materials budget has two parts: the materials to use and the materials to buy.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equal usage plus the desired ending stock minus the beginning stock, just like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   Concentrate   ·   production   ·   direct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concentrate in the first quarter</w:t>
            </w:r>
          </w:p>
        </w:tc>
      </w:tr>
    </w:tbl>
    <w:p/>
    <w:p>
      <w:pPr>
        <w:spacing w:before="44" w:after="10"/>
      </w:pPr>
      <w:r>
        <w:rPr>
          <w:b/>
          <w:bCs/>
          <w:color w:val="353A7C"/>
          <w:sz w:val="18"/>
          <w:szCs w:val="18"/>
        </w:rPr>
        <w:t xml:space="preserve">Worked example: the concentrate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materials budget   ·   = Liters to buy   ·   − Beginning stock   ·   × $0.90 = cost of purchases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Concentrate in the third and fourth quarters</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Complete the blank cells. </w:t>
      </w:r>
      <w:r>
        <w:rPr>
          <w:sz w:val="19"/>
          <w:szCs w:val="19"/>
        </w:rPr>
        <w:t xml:space="preserve">The first quarter of 2029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at 218,000 cases.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policy decides how much stock to hold.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travels further and is kept at 10% of the next quarter's needs.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planned   ·   Concentrate   ·   procurement   ·   quarter</w:t>
            </w:r>
          </w:p>
        </w:tc>
      </w:tr>
    </w:tbl>
    <w:p/>
    <w:p>
      <w:pPr>
        <w:pageBreakBefore w:val="true"/>
        <w:spacing w:after="0"/>
      </w:pPr>
      <w:r>
        <w:rPr>
          <w:sz w:val="2"/>
        </w:rPr>
        <w:t xml:space="preserve"> </w:t>
      </w:r>
    </w:p>
    <w:p>
      <w:pPr>
        <w:spacing w:before="44" w:after="10"/>
      </w:pPr>
      <w:r>
        <w:rPr>
          <w:b/>
          <w:bCs/>
          <w:color w:val="353A7C"/>
          <w:sz w:val="18"/>
          <w:szCs w:val="18"/>
        </w:rPr>
        <w:t xml:space="preserve">Bottles, caps and cartons bought just-in-time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Bottles used and bought   ·   Caps and cartons at $0.60 a case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08"/>
        <w:gridCol w:w="3539"/>
        <w:gridCol w:w="375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Procurement policies and their effect on the materials budget</w:t>
            </w:r>
          </w:p>
        </w:tc>
      </w:tr>
      <w:tr>
        <w:tc>
          <w:tcPr>
            <w:tcW w:type="pct" w:w="1202"/>
            <w:shd w:fill="353A7C" w:val="clear"/>
            <w:tcMar>
              <w:top w:type="dxa" w:w="50"/>
              <w:left w:type="dxa" w:w="110"/>
              <w:bottom w:type="dxa" w:w="50"/>
              <w:right w:type="dxa" w:w="110"/>
            </w:tcMar>
          </w:tcPr>
          <w:p>
            <w:pPr>
              <w:spacing w:before="30" w:after="30"/>
            </w:pPr>
            <w:r>
              <w:rPr>
                <w:b/>
                <w:bCs/>
                <w:color w:val="FFFFFF"/>
                <w:sz w:val="15"/>
                <w:szCs w:val="15"/>
              </w:rPr>
              <w:t xml:space="preserve">Material</w:t>
            </w:r>
          </w:p>
        </w:tc>
        <w:tc>
          <w:tcPr>
            <w:tcW w:type="pct" w:w="1843"/>
            <w:shd w:fill="353A7C" w:val="clear"/>
            <w:tcMar>
              <w:top w:type="dxa" w:w="50"/>
              <w:left w:type="dxa" w:w="110"/>
              <w:bottom w:type="dxa" w:w="50"/>
              <w:right w:type="dxa" w:w="110"/>
            </w:tcMar>
          </w:tcPr>
          <w:p>
            <w:pPr>
              <w:spacing w:before="30" w:after="30"/>
            </w:pPr>
            <w:r>
              <w:rPr>
                <w:b/>
                <w:bCs/>
                <w:color w:val="FFFFFF"/>
                <w:sz w:val="15"/>
                <w:szCs w:val="15"/>
              </w:rPr>
              <w:t xml:space="preserve">Procurement policy (B.5.h)</w:t>
            </w:r>
          </w:p>
        </w:tc>
        <w:tc>
          <w:tcPr>
            <w:tcW w:type="pct" w:w="1955"/>
            <w:shd w:fill="353A7C" w:val="clear"/>
            <w:tcMar>
              <w:top w:type="dxa" w:w="50"/>
              <w:left w:type="dxa" w:w="110"/>
              <w:bottom w:type="dxa" w:w="50"/>
              <w:right w:type="dxa" w:w="110"/>
            </w:tcMar>
          </w:tcPr>
          <w:p>
            <w:pPr>
              <w:spacing w:before="30" w:after="30"/>
            </w:pPr>
            <w:r>
              <w:rPr>
                <w:b/>
                <w:bCs/>
                <w:color w:val="FFFFFF"/>
                <w:sz w:val="15"/>
                <w:szCs w:val="15"/>
              </w:rPr>
              <w:t xml:space="preserve">Effect on the materials budget</w:t>
            </w:r>
          </w:p>
        </w:tc>
      </w:tr>
      <w:tr>
        <w:tc>
          <w:tcPr>
            <w:tcW w:type="pct" w:w="1202"/>
            <w:tcMar>
              <w:top w:type="dxa" w:w="50"/>
              <w:left w:type="dxa" w:w="110"/>
              <w:bottom w:type="dxa" w:w="50"/>
              <w:right w:type="dxa" w:w="110"/>
            </w:tcMar>
          </w:tcPr>
          <w:p>
            <w:pPr>
              <w:spacing w:before="28" w:after="28"/>
            </w:pPr>
            <w:r>
              <w:rPr>
                <w:sz w:val="15"/>
                <w:szCs w:val="15"/>
              </w:rPr>
              <w:t xml:space="preserve">Concentrate</w:t>
            </w:r>
          </w:p>
        </w:tc>
        <w:tc>
          <w:tcPr>
            <w:tcW w:type="pct" w:w="184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955"/>
            <w:tcMar>
              <w:top w:type="dxa" w:w="50"/>
              <w:left w:type="dxa" w:w="110"/>
              <w:bottom w:type="dxa" w:w="50"/>
              <w:right w:type="dxa" w:w="110"/>
            </w:tcMar>
          </w:tcPr>
          <w:p>
            <w:pPr>
              <w:spacing w:before="28" w:after="28"/>
            </w:pPr>
            <w:r>
              <w:rPr>
                <w:sz w:val="15"/>
                <w:szCs w:val="15"/>
              </w:rPr>
              <w:t xml:space="preserve">Purchases differ from usage by the change in stock</w:t>
            </w:r>
          </w:p>
        </w:tc>
      </w:tr>
      <w:tr>
        <w:tc>
          <w:tcPr>
            <w:tcW w:type="pct" w:w="1202"/>
            <w:shd w:fill="FBFAF6" w:val="clear"/>
            <w:tcMar>
              <w:top w:type="dxa" w:w="50"/>
              <w:left w:type="dxa" w:w="110"/>
              <w:bottom w:type="dxa" w:w="50"/>
              <w:right w:type="dxa" w:w="110"/>
            </w:tcMar>
          </w:tcPr>
          <w:p>
            <w:pPr>
              <w:spacing w:before="28" w:after="28"/>
            </w:pPr>
            <w:r>
              <w:rPr>
                <w:sz w:val="15"/>
                <w:szCs w:val="15"/>
              </w:rPr>
              <w:t xml:space="preserve">Bottles (Jordan Glass)</w:t>
            </w:r>
          </w:p>
        </w:tc>
        <w:tc>
          <w:tcPr>
            <w:tcW w:type="pct" w:w="1843"/>
            <w:shd w:fill="FBFAF6" w:val="clear"/>
            <w:tcMar>
              <w:top w:type="dxa" w:w="50"/>
              <w:left w:type="dxa" w:w="110"/>
              <w:bottom w:type="dxa" w:w="50"/>
              <w:right w:type="dxa" w:w="110"/>
            </w:tcMar>
          </w:tcPr>
          <w:p>
            <w:pPr>
              <w:spacing w:before="28" w:after="28"/>
            </w:pPr>
            <w:r>
              <w:rPr>
                <w:sz w:val="15"/>
                <w:szCs w:val="15"/>
              </w:rPr>
              <w:t xml:space="preserve">Just-in-time daily deliveries (Book 2, Chapter 17)</w:t>
            </w:r>
          </w:p>
        </w:tc>
        <w:tc>
          <w:tcPr>
            <w:tcW w:type="pct" w:w="1955"/>
            <w:shd w:fill="FBFAF6" w:val="clear"/>
            <w:tcMar>
              <w:top w:type="dxa" w:w="50"/>
              <w:left w:type="dxa" w:w="110"/>
              <w:bottom w:type="dxa" w:w="50"/>
              <w:right w:type="dxa" w:w="110"/>
            </w:tcMar>
          </w:tcPr>
          <w:p>
            <w:pPr>
              <w:spacing w:before="28" w:after="28"/>
            </w:pPr>
            <w:r>
              <w:rPr>
                <w:sz w:val="15"/>
                <w:szCs w:val="15"/>
              </w:rPr>
              <w:t xml:space="preserve">Purchases = usage; almost no stock</w:t>
            </w:r>
          </w:p>
        </w:tc>
      </w:tr>
      <w:tr>
        <w:tc>
          <w:tcPr>
            <w:tcW w:type="pct" w:w="1202"/>
            <w:tcMar>
              <w:top w:type="dxa" w:w="50"/>
              <w:left w:type="dxa" w:w="110"/>
              <w:bottom w:type="dxa" w:w="50"/>
              <w:right w:type="dxa" w:w="110"/>
            </w:tcMar>
          </w:tcPr>
          <w:p>
            <w:pPr>
              <w:spacing w:before="28" w:after="28"/>
            </w:pPr>
            <w:r>
              <w:rPr>
                <w:sz w:val="15"/>
                <w:szCs w:val="15"/>
              </w:rPr>
              <w:t xml:space="preserve">Caps and cartons</w:t>
            </w:r>
          </w:p>
        </w:tc>
        <w:tc>
          <w:tcPr>
            <w:tcW w:type="pct" w:w="1843"/>
            <w:tcMar>
              <w:top w:type="dxa" w:w="50"/>
              <w:left w:type="dxa" w:w="110"/>
              <w:bottom w:type="dxa" w:w="50"/>
              <w:right w:type="dxa" w:w="110"/>
            </w:tcMar>
          </w:tcPr>
          <w:p>
            <w:pPr>
              <w:spacing w:before="28" w:after="28"/>
            </w:pPr>
            <w:r>
              <w:rPr>
                <w:sz w:val="15"/>
                <w:szCs w:val="15"/>
              </w:rPr>
              <w:t xml:space="preserve">Just-in-time</w:t>
            </w:r>
          </w:p>
        </w:tc>
        <w:tc>
          <w:tcPr>
            <w:tcW w:type="pct" w:w="1955"/>
            <w:tcMar>
              <w:top w:type="dxa" w:w="50"/>
              <w:left w:type="dxa" w:w="110"/>
              <w:bottom w:type="dxa" w:w="50"/>
              <w:right w:type="dxa" w:w="110"/>
            </w:tcMar>
          </w:tcPr>
          <w:p>
            <w:pPr>
              <w:spacing w:before="28" w:after="28"/>
            </w:pPr>
            <w:r>
              <w:rPr>
                <w:sz w:val="15"/>
                <w:szCs w:val="15"/>
              </w:rPr>
              <w:t xml:space="preserve">Purchases = usage</w:t>
            </w:r>
          </w:p>
        </w:tc>
      </w:tr>
      <w:tr>
        <w:tc>
          <w:tcPr>
            <w:tcW w:type="pct" w:w="1202"/>
            <w:shd w:fill="FBFAF6" w:val="clear"/>
            <w:tcMar>
              <w:top w:type="dxa" w:w="50"/>
              <w:left w:type="dxa" w:w="110"/>
              <w:bottom w:type="dxa" w:w="50"/>
              <w:right w:type="dxa" w:w="110"/>
            </w:tcMar>
          </w:tcPr>
          <w:p>
            <w:pPr>
              <w:spacing w:before="28" w:after="28"/>
            </w:pPr>
            <w:r>
              <w:rPr>
                <w:sz w:val="15"/>
                <w:szCs w:val="15"/>
              </w:rPr>
              <w:t xml:space="preserve">Any item with a minimum order</w:t>
            </w:r>
          </w:p>
        </w:tc>
        <w:tc>
          <w:tcPr>
            <w:tcW w:type="pct" w:w="1843"/>
            <w:shd w:fill="FBFAF6" w:val="clear"/>
            <w:tcMar>
              <w:top w:type="dxa" w:w="50"/>
              <w:left w:type="dxa" w:w="110"/>
              <w:bottom w:type="dxa" w:w="50"/>
              <w:right w:type="dxa" w:w="110"/>
            </w:tcMar>
          </w:tcPr>
          <w:p>
            <w:pPr>
              <w:spacing w:before="28" w:after="28"/>
            </w:pPr>
            <w:r>
              <w:rPr>
                <w:sz w:val="15"/>
                <w:szCs w:val="15"/>
              </w:rPr>
              <w:t xml:space="preserve">Buy in fixed lots</w:t>
            </w:r>
          </w:p>
        </w:tc>
        <w:tc>
          <w:tcPr>
            <w:tcW w:type="pct" w:w="1955"/>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Keep 10% of next quarter's needs   ·   Purchases rounded up; stock rises   ·   × 6.0 liters = liters needed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Usage is not purchases</w:t>
            </w:r>
          </w:p>
        </w:tc>
      </w:tr>
    </w:tbl>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An answer that sets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equal to usage ignores the change in materials stock. </w:t>
      </w:r>
      <w:r>
        <w:rPr>
          <w:sz w:val="19"/>
          <w:szCs w:val="19"/>
        </w:rPr>
        <w:t xml:space="preserve">It is right only for items bought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just-in-time   ·   further   ·   purchases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direct materials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المواد المباشرة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procurement policy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سياسة الشراء</w:t>
            </w:r>
          </w:p>
        </w:tc>
      </w:tr>
      <w:tr>
        <w:tc>
          <w:tcPr>
            <w:tcW w:type="pct" w:w="2400"/>
            <w:tcMar>
              <w:top w:type="dxa" w:w="50"/>
              <w:left w:type="dxa" w:w="110"/>
              <w:bottom w:type="dxa" w:w="50"/>
              <w:right w:type="dxa" w:w="110"/>
            </w:tcMar>
          </w:tcPr>
          <w:p>
            <w:pPr>
              <w:spacing w:before="26" w:after="26"/>
            </w:pPr>
            <w:r>
              <w:rPr>
                <w:color w:val="232733"/>
                <w:sz w:val="16"/>
                <w:szCs w:val="16"/>
              </w:rPr>
              <w:t xml:space="preserve">just-in-time (JIT)</w:t>
            </w:r>
          </w:p>
        </w:tc>
        <w:tc>
          <w:tcPr>
            <w:tcW w:type="pct" w:w="2600"/>
            <w:tcMar>
              <w:top w:type="dxa" w:w="50"/>
              <w:left w:type="dxa" w:w="110"/>
              <w:bottom w:type="dxa" w:w="50"/>
              <w:right w:type="dxa" w:w="110"/>
            </w:tcMar>
          </w:tcPr>
          <w:p>
            <w:pPr>
              <w:spacing w:before="26" w:after="26"/>
            </w:pPr>
            <w:r>
              <w:rPr>
                <w:color w:val="232733"/>
                <w:sz w:val="16"/>
                <w:szCs w:val="16"/>
              </w:rPr>
              <w:t xml:space="preserve">التوقيت المحدد (الإنتاج في الوقت المحدد)</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The direct materials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procurement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Caps and cartons at $0.60 a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Beginning stock</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Keep 10% of next quarter's needs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 Liters to buy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Purchases rounded up; stock rises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 $0.90 = cost of purchases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planned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just-in-time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materials budget has two parts: the materials to use and the materials to buy. Purchases equal usage plus the desired ending stock minus the beginning stock, just like the production budget.</w:t>
      </w:r>
    </w:p>
    <w:p>
      <w:pPr>
        <w:spacing w:before="20" w:after="20"/>
        <w:ind w:left="240" w:hanging="240"/>
      </w:pPr>
      <w:r>
        <w:rPr>
          <w:b/>
          <w:bCs/>
          <w:color w:val="353A7C"/>
          <w:sz w:val="15"/>
          <w:szCs w:val="15"/>
        </w:rPr>
        <w:t xml:space="preserve">Summary 2   </w:t>
      </w:r>
      <w:r>
        <w:rPr>
          <w:color w:val="6B7280"/>
          <w:sz w:val="15"/>
          <w:szCs w:val="15"/>
        </w:rPr>
        <w:t xml:space="preserve">Complete the blank cells. The first quarter of 2029 is planned at 218,000 cases. The procurement policy decides how much stock to hold. Concentrate travels further and is kept at 10% of the next quarter's needs.</w:t>
      </w:r>
    </w:p>
    <w:p>
      <w:pPr>
        <w:spacing w:before="20" w:after="20"/>
        <w:ind w:left="240" w:hanging="240"/>
      </w:pPr>
      <w:r>
        <w:rPr>
          <w:b/>
          <w:bCs/>
          <w:color w:val="353A7C"/>
          <w:sz w:val="15"/>
          <w:szCs w:val="15"/>
        </w:rPr>
        <w:t xml:space="preserve">Summary 3   </w:t>
      </w:r>
      <w:r>
        <w:rPr>
          <w:color w:val="6B7280"/>
          <w:sz w:val="15"/>
          <w:szCs w:val="15"/>
        </w:rPr>
        <w:t xml:space="preserve">An answer that sets purchases equal to usage ignores the change in materials stock. It is right only for items bought just-in-time.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The direct labor budget</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direct labor budget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cases to produce by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hours per case, then by the wage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working   ·   standard   ·   multiplies</w:t>
            </w:r>
          </w:p>
        </w:tc>
      </w:tr>
    </w:tbl>
    <w:p/>
    <w:p>
      <w:pPr>
        <w:spacing w:before="44" w:after="10"/>
      </w:pPr>
      <w:r>
        <w:rPr>
          <w:b/>
          <w:bCs/>
          <w:color w:val="353A7C"/>
          <w:sz w:val="18"/>
          <w:szCs w:val="18"/>
        </w:rPr>
        <w:t xml:space="preserve">Worked example: the direct labor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Hours available   ·   overhead budget   ·   × 0.05 hours = hours needed</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The budget must also be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With 25 operators working 480 hours a quarter, 12,000 hours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division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plans to hire two temporary operators for the summer. </w:t>
      </w:r>
      <w:r>
        <w:rPr>
          <w:sz w:val="19"/>
          <w:szCs w:val="19"/>
        </w:rPr>
        <w:t xml:space="preserve">Checking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this way is part of preparing the budget, not a separate task.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feasibility   ·   division   ·   therefore   ·   feasible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3"/>
        <w:gridCol w:w="484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5"/>
            <w:tcMar>
              <w:top w:type="dxa" w:w="50"/>
              <w:left w:type="dxa" w:w="110"/>
              <w:bottom w:type="dxa" w:w="50"/>
              <w:right w:type="dxa" w:w="110"/>
            </w:tcMar>
          </w:tcPr>
          <w:p>
            <w:pPr>
              <w:spacing w:before="26" w:after="26"/>
            </w:pPr>
            <w:r>
              <w:rPr>
                <w:color w:val="232733"/>
                <w:sz w:val="16"/>
                <w:szCs w:val="16"/>
              </w:rPr>
              <w:t xml:space="preserve">direct labor budget</w:t>
            </w:r>
          </w:p>
        </w:tc>
        <w:tc>
          <w:tcPr>
            <w:tcW w:type="pct" w:w="2525"/>
            <w:tcMar>
              <w:top w:type="dxa" w:w="50"/>
              <w:left w:type="dxa" w:w="110"/>
              <w:bottom w:type="dxa" w:w="50"/>
              <w:right w:type="dxa" w:w="110"/>
            </w:tcMar>
          </w:tcPr>
          <w:p>
            <w:pPr>
              <w:spacing w:before="26" w:after="26"/>
            </w:pPr>
            <w:r>
              <w:rPr>
                <w:color w:val="232733"/>
                <w:sz w:val="16"/>
                <w:szCs w:val="16"/>
              </w:rPr>
              <w:t xml:space="preserve">موازنة العمل المباشر</w:t>
            </w:r>
          </w:p>
        </w:tc>
      </w:tr>
      <w:tr>
        <w:tc>
          <w:tcPr>
            <w:tcW w:type="pct" w:w="2475"/>
            <w:shd w:fill="FBFAF6" w:val="clear"/>
            <w:tcMar>
              <w:top w:type="dxa" w:w="50"/>
              <w:left w:type="dxa" w:w="110"/>
              <w:bottom w:type="dxa" w:w="50"/>
              <w:right w:type="dxa" w:w="110"/>
            </w:tcMar>
          </w:tcPr>
          <w:p>
            <w:pPr>
              <w:spacing w:before="26" w:after="26"/>
            </w:pPr>
            <w:r>
              <w:rPr>
                <w:color w:val="232733"/>
                <w:sz w:val="16"/>
                <w:szCs w:val="16"/>
              </w:rPr>
              <w:t xml:space="preserve">feasibility</w:t>
            </w:r>
          </w:p>
        </w:tc>
        <w:tc>
          <w:tcPr>
            <w:tcW w:type="pct" w:w="2525"/>
            <w:shd w:fill="FBFAF6" w:val="clear"/>
            <w:tcMar>
              <w:top w:type="dxa" w:w="50"/>
              <w:left w:type="dxa" w:w="110"/>
              <w:bottom w:type="dxa" w:w="50"/>
              <w:right w:type="dxa" w:w="110"/>
            </w:tcMar>
          </w:tcPr>
          <w:p>
            <w:pPr>
              <w:spacing w:before="26" w:after="26"/>
            </w:pPr>
            <w:r>
              <w:rPr>
                <w:color w:val="232733"/>
                <w:sz w:val="16"/>
                <w:szCs w:val="16"/>
              </w:rPr>
              <w:t xml:space="preserve">إمكانية التنفيذ</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The direct labor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multiplies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feasible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available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 0.05 hours = hours needed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Hours available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feasibility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labor budget multiplies the cases to produce by the standard hours per case, then by the wage rate.</w:t>
      </w:r>
    </w:p>
    <w:p>
      <w:pPr>
        <w:spacing w:before="20" w:after="20"/>
        <w:ind w:left="240" w:hanging="240"/>
      </w:pPr>
      <w:r>
        <w:rPr>
          <w:b/>
          <w:bCs/>
          <w:color w:val="353A7C"/>
          <w:sz w:val="15"/>
          <w:szCs w:val="15"/>
        </w:rPr>
        <w:t xml:space="preserve">Summary 2   </w:t>
      </w:r>
      <w:r>
        <w:rPr>
          <w:color w:val="6B7280"/>
          <w:sz w:val="15"/>
          <w:szCs w:val="15"/>
        </w:rPr>
        <w:t xml:space="preserve">The budget must also be feasible. With 25 operators working 480 hours a quarter, 12,000 hours are available. The division therefore plans to hire two temporary operators for the summer. Checking feasibility in this way is part of preparing the budget, not a separate task.</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The overhead budget</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has a variable part and a fixed part. </w:t>
      </w:r>
      <w:r>
        <w:rPr>
          <w:sz w:val="19"/>
          <w:szCs w:val="19"/>
        </w:rPr>
        <w:t xml:space="preserve">Variable overhead moves with its driver,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hours, at $50.00 an hour; fixed overhead is budgeted item by item and does not change with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   overhead   ·   production   ·   budget</w:t>
            </w:r>
          </w:p>
        </w:tc>
      </w:tr>
    </w:tbl>
    <w:p/>
    <w:p>
      <w:pPr>
        <w:spacing w:before="44" w:after="10"/>
      </w:pPr>
      <w:r>
        <w:rPr>
          <w:b/>
          <w:bCs/>
          <w:color w:val="353A7C"/>
          <w:sz w:val="18"/>
          <w:szCs w:val="18"/>
        </w:rPr>
        <w:t xml:space="preserve">Overhead items and rates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7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757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(variable part)   ·   Power and water   ·   direct materials budget   ·   Variable overhead   ·   Cleaning supplies   ·   Insurance and property tax</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quarterly overhead budget</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First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213,000 cases × 0.02 = 4,260 machine hours × $50.00 = $213,000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plus $450,000 fixed = $663,000.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Budgeting   ·   variable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506"/>
        <w:gridCol w:w="1163"/>
        <w:gridCol w:w="1163"/>
        <w:gridCol w:w="1163"/>
        <w:gridCol w:w="1163"/>
        <w:gridCol w:w="1444"/>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Worked example: the overhead budget for 2028</w:t>
            </w:r>
          </w:p>
        </w:tc>
      </w:tr>
      <w:tr>
        <w:tc>
          <w:tcPr>
            <w:tcW w:type="pct" w:w="1826"/>
            <w:shd w:fill="353A7C" w:val="clear"/>
            <w:tcMar>
              <w:top w:type="dxa" w:w="50"/>
              <w:left w:type="dxa" w:w="110"/>
              <w:bottom w:type="dxa" w:w="50"/>
              <w:right w:type="dxa" w:w="110"/>
            </w:tcMar>
          </w:tcPr>
          <w:p>
            <w:pPr>
              <w:spacing w:before="30" w:after="30"/>
            </w:pPr>
            <w:r>
              <w:rPr>
                <w:b/>
                <w:bCs/>
                <w:color w:val="FFFFFF"/>
                <w:sz w:val="15"/>
                <w:szCs w:val="15"/>
              </w:rPr>
              <w:t xml:space="preserve">Overhead budget 2028</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Q1</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Q2</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Q3</w:t>
            </w:r>
          </w:p>
        </w:tc>
        <w:tc>
          <w:tcPr>
            <w:tcW w:type="pct" w:w="605"/>
            <w:shd w:fill="353A7C" w:val="clear"/>
            <w:tcMar>
              <w:top w:type="dxa" w:w="50"/>
              <w:left w:type="dxa" w:w="110"/>
              <w:bottom w:type="dxa" w:w="50"/>
              <w:right w:type="dxa" w:w="110"/>
            </w:tcMar>
          </w:tcPr>
          <w:p>
            <w:pPr>
              <w:spacing w:before="30" w:after="30"/>
            </w:pPr>
            <w:r>
              <w:rPr>
                <w:b/>
                <w:bCs/>
                <w:color w:val="FFFFFF"/>
                <w:sz w:val="15"/>
                <w:szCs w:val="15"/>
              </w:rPr>
              <w:t xml:space="preserve">Q4</w:t>
            </w:r>
          </w:p>
        </w:tc>
        <w:tc>
          <w:tcPr>
            <w:tcW w:type="pct" w:w="752"/>
            <w:shd w:fill="353A7C" w:val="clear"/>
            <w:tcMar>
              <w:top w:type="dxa" w:w="50"/>
              <w:left w:type="dxa" w:w="110"/>
              <w:bottom w:type="dxa" w:w="50"/>
              <w:right w:type="dxa" w:w="110"/>
            </w:tcMar>
          </w:tcPr>
          <w:p>
            <w:pPr>
              <w:spacing w:before="30" w:after="30"/>
            </w:pPr>
            <w:r>
              <w:rPr>
                <w:b/>
                <w:bCs/>
                <w:color w:val="FFFFFF"/>
                <w:sz w:val="15"/>
                <w:szCs w:val="15"/>
              </w:rPr>
              <w:t xml:space="preserve">Year</w:t>
            </w:r>
          </w:p>
        </w:tc>
      </w:tr>
      <w:tr>
        <w:tc>
          <w:tcPr>
            <w:tcW w:type="pct" w:w="1826"/>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605"/>
            <w:tcMar>
              <w:top w:type="dxa" w:w="50"/>
              <w:left w:type="dxa" w:w="110"/>
              <w:bottom w:type="dxa" w:w="50"/>
              <w:right w:type="dxa" w:w="110"/>
            </w:tcMar>
          </w:tcPr>
          <w:p>
            <w:pPr>
              <w:spacing w:before="28" w:after="28"/>
            </w:pPr>
            <w:r>
              <w:rPr>
                <w:sz w:val="15"/>
                <w:szCs w:val="15"/>
              </w:rPr>
              <w:t xml:space="preserve">213,000</w:t>
            </w:r>
          </w:p>
        </w:tc>
        <w:tc>
          <w:tcPr>
            <w:tcW w:type="pct" w:w="605"/>
            <w:tcMar>
              <w:top w:type="dxa" w:w="50"/>
              <w:left w:type="dxa" w:w="110"/>
              <w:bottom w:type="dxa" w:w="50"/>
              <w:right w:type="dxa" w:w="110"/>
            </w:tcMar>
          </w:tcPr>
          <w:p>
            <w:pPr>
              <w:spacing w:before="28" w:after="28"/>
            </w:pPr>
            <w:r>
              <w:rPr>
                <w:sz w:val="15"/>
                <w:szCs w:val="15"/>
              </w:rPr>
              <w:t xml:space="preserve">228,000</w:t>
            </w:r>
          </w:p>
        </w:tc>
        <w:tc>
          <w:tcPr>
            <w:tcW w:type="pct" w:w="605"/>
            <w:tcMar>
              <w:top w:type="dxa" w:w="50"/>
              <w:left w:type="dxa" w:w="110"/>
              <w:bottom w:type="dxa" w:w="50"/>
              <w:right w:type="dxa" w:w="110"/>
            </w:tcMar>
          </w:tcPr>
          <w:p>
            <w:pPr>
              <w:spacing w:before="28" w:after="28"/>
            </w:pPr>
            <w:r>
              <w:rPr>
                <w:sz w:val="15"/>
                <w:szCs w:val="15"/>
              </w:rPr>
              <w:t xml:space="preserve">237,000</w:t>
            </w:r>
          </w:p>
        </w:tc>
        <w:tc>
          <w:tcPr>
            <w:tcW w:type="pct" w:w="605"/>
            <w:tcMar>
              <w:top w:type="dxa" w:w="50"/>
              <w:left w:type="dxa" w:w="110"/>
              <w:bottom w:type="dxa" w:w="50"/>
              <w:right w:type="dxa" w:w="110"/>
            </w:tcMar>
          </w:tcPr>
          <w:p>
            <w:pPr>
              <w:spacing w:before="28" w:after="28"/>
            </w:pPr>
            <w:r>
              <w:rPr>
                <w:sz w:val="15"/>
                <w:szCs w:val="15"/>
              </w:rPr>
              <w:t xml:space="preserve">223,000</w:t>
            </w:r>
          </w:p>
        </w:tc>
        <w:tc>
          <w:tcPr>
            <w:tcW w:type="pct" w:w="752"/>
            <w:tcMar>
              <w:top w:type="dxa" w:w="50"/>
              <w:left w:type="dxa" w:w="110"/>
              <w:bottom w:type="dxa" w:w="50"/>
              <w:right w:type="dxa" w:w="110"/>
            </w:tcMar>
          </w:tcPr>
          <w:p>
            <w:pPr>
              <w:spacing w:before="28" w:after="28"/>
            </w:pPr>
            <w:r>
              <w:rPr>
                <w:sz w:val="15"/>
                <w:szCs w:val="15"/>
              </w:rPr>
              <w:t xml:space="preserve">901,000</w:t>
            </w:r>
          </w:p>
        </w:tc>
      </w:tr>
      <w:tr>
        <w:tc>
          <w:tcPr>
            <w:tcW w:type="pct" w:w="182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605"/>
            <w:shd w:fill="FBFAF6" w:val="clear"/>
            <w:tcMar>
              <w:top w:type="dxa" w:w="50"/>
              <w:left w:type="dxa" w:w="110"/>
              <w:bottom w:type="dxa" w:w="50"/>
              <w:right w:type="dxa" w:w="110"/>
            </w:tcMar>
          </w:tcPr>
          <w:p>
            <w:pPr>
              <w:spacing w:before="28" w:after="28"/>
            </w:pPr>
            <w:r>
              <w:rPr>
                <w:sz w:val="15"/>
                <w:szCs w:val="15"/>
              </w:rPr>
              <w:t xml:space="preserve">4,260</w:t>
            </w:r>
          </w:p>
        </w:tc>
        <w:tc>
          <w:tcPr>
            <w:tcW w:type="pct" w:w="605"/>
            <w:shd w:fill="FBFAF6" w:val="clear"/>
            <w:tcMar>
              <w:top w:type="dxa" w:w="50"/>
              <w:left w:type="dxa" w:w="110"/>
              <w:bottom w:type="dxa" w:w="50"/>
              <w:right w:type="dxa" w:w="110"/>
            </w:tcMar>
          </w:tcPr>
          <w:p>
            <w:pPr>
              <w:spacing w:before="28" w:after="28"/>
            </w:pPr>
            <w:r>
              <w:rPr>
                <w:sz w:val="15"/>
                <w:szCs w:val="15"/>
              </w:rPr>
              <w:t xml:space="preserve">4,560</w:t>
            </w:r>
          </w:p>
        </w:tc>
        <w:tc>
          <w:tcPr>
            <w:tcW w:type="pct" w:w="605"/>
            <w:shd w:fill="FBFAF6" w:val="clear"/>
            <w:tcMar>
              <w:top w:type="dxa" w:w="50"/>
              <w:left w:type="dxa" w:w="110"/>
              <w:bottom w:type="dxa" w:w="50"/>
              <w:right w:type="dxa" w:w="110"/>
            </w:tcMar>
          </w:tcPr>
          <w:p>
            <w:pPr>
              <w:spacing w:before="28" w:after="28"/>
            </w:pPr>
            <w:r>
              <w:rPr>
                <w:sz w:val="15"/>
                <w:szCs w:val="15"/>
              </w:rPr>
              <w:t xml:space="preserve">4,740</w:t>
            </w:r>
          </w:p>
        </w:tc>
        <w:tc>
          <w:tcPr>
            <w:tcW w:type="pct" w:w="605"/>
            <w:shd w:fill="FBFAF6" w:val="clear"/>
            <w:tcMar>
              <w:top w:type="dxa" w:w="50"/>
              <w:left w:type="dxa" w:w="110"/>
              <w:bottom w:type="dxa" w:w="50"/>
              <w:right w:type="dxa" w:w="110"/>
            </w:tcMar>
          </w:tcPr>
          <w:p>
            <w:pPr>
              <w:spacing w:before="28" w:after="28"/>
            </w:pPr>
            <w:r>
              <w:rPr>
                <w:sz w:val="15"/>
                <w:szCs w:val="15"/>
              </w:rPr>
              <w:t xml:space="preserve">4,460</w:t>
            </w:r>
          </w:p>
        </w:tc>
        <w:tc>
          <w:tcPr>
            <w:tcW w:type="pct" w:w="752"/>
            <w:shd w:fill="FBFAF6" w:val="clear"/>
            <w:tcMar>
              <w:top w:type="dxa" w:w="50"/>
              <w:left w:type="dxa" w:w="110"/>
              <w:bottom w:type="dxa" w:w="50"/>
              <w:right w:type="dxa" w:w="110"/>
            </w:tcMar>
          </w:tcPr>
          <w:p>
            <w:pPr>
              <w:spacing w:before="28" w:after="28"/>
            </w:pPr>
            <w:r>
              <w:rPr>
                <w:sz w:val="15"/>
                <w:szCs w:val="15"/>
              </w:rPr>
              <w:t xml:space="preserve">18,020</w:t>
            </w:r>
          </w:p>
        </w:tc>
      </w:tr>
      <w:tr>
        <w:tc>
          <w:tcPr>
            <w:tcW w:type="pct" w:w="1826"/>
            <w:tcMar>
              <w:top w:type="dxa" w:w="50"/>
              <w:left w:type="dxa" w:w="110"/>
              <w:bottom w:type="dxa" w:w="50"/>
              <w:right w:type="dxa" w:w="110"/>
            </w:tcMar>
          </w:tcPr>
          <w:p>
            <w:pPr>
              <w:spacing w:before="28" w:after="28"/>
            </w:pPr>
            <w:r>
              <w:rPr>
                <w:sz w:val="15"/>
                <w:szCs w:val="15"/>
              </w:rPr>
              <w:t xml:space="preserve">Variable overhead (× $50.00)</w:t>
            </w:r>
          </w:p>
        </w:tc>
        <w:tc>
          <w:tcPr>
            <w:tcW w:type="pct" w:w="605"/>
            <w:tcMar>
              <w:top w:type="dxa" w:w="50"/>
              <w:left w:type="dxa" w:w="110"/>
              <w:bottom w:type="dxa" w:w="50"/>
              <w:right w:type="dxa" w:w="110"/>
            </w:tcMar>
          </w:tcPr>
          <w:p>
            <w:pPr>
              <w:spacing w:before="28" w:after="28"/>
            </w:pPr>
            <w:r>
              <w:rPr>
                <w:sz w:val="15"/>
                <w:szCs w:val="15"/>
              </w:rPr>
              <w:t xml:space="preserve">213,000</w:t>
            </w:r>
          </w:p>
        </w:tc>
        <w:tc>
          <w:tcPr>
            <w:tcW w:type="pct" w:w="605"/>
            <w:tcMar>
              <w:top w:type="dxa" w:w="50"/>
              <w:left w:type="dxa" w:w="110"/>
              <w:bottom w:type="dxa" w:w="50"/>
              <w:right w:type="dxa" w:w="110"/>
            </w:tcMar>
          </w:tcPr>
          <w:p>
            <w:pPr>
              <w:spacing w:before="28" w:after="28"/>
            </w:pPr>
            <w:r>
              <w:rPr>
                <w:sz w:val="15"/>
                <w:szCs w:val="15"/>
              </w:rPr>
              <w:t xml:space="preserve">228,000</w:t>
            </w:r>
          </w:p>
        </w:tc>
        <w:tc>
          <w:tcPr>
            <w:tcW w:type="pct" w:w="605"/>
            <w:tcMar>
              <w:top w:type="dxa" w:w="50"/>
              <w:left w:type="dxa" w:w="110"/>
              <w:bottom w:type="dxa" w:w="50"/>
              <w:right w:type="dxa" w:w="110"/>
            </w:tcMar>
          </w:tcPr>
          <w:p>
            <w:pPr>
              <w:spacing w:before="28" w:after="28"/>
            </w:pPr>
            <w:r>
              <w:rPr>
                <w:sz w:val="15"/>
                <w:szCs w:val="15"/>
              </w:rPr>
              <w:t xml:space="preserve">237,000</w:t>
            </w:r>
          </w:p>
        </w:tc>
        <w:tc>
          <w:tcPr>
            <w:tcW w:type="pct" w:w="605"/>
            <w:tcMar>
              <w:top w:type="dxa" w:w="50"/>
              <w:left w:type="dxa" w:w="110"/>
              <w:bottom w:type="dxa" w:w="50"/>
              <w:right w:type="dxa" w:w="110"/>
            </w:tcMar>
          </w:tcPr>
          <w:p>
            <w:pPr>
              <w:spacing w:before="28" w:after="28"/>
            </w:pPr>
            <w:r>
              <w:rPr>
                <w:sz w:val="15"/>
                <w:szCs w:val="15"/>
              </w:rPr>
              <w:t xml:space="preserve">223,000</w:t>
            </w:r>
          </w:p>
        </w:tc>
        <w:tc>
          <w:tcPr>
            <w:tcW w:type="pct" w:w="752"/>
            <w:tcMar>
              <w:top w:type="dxa" w:w="50"/>
              <w:left w:type="dxa" w:w="110"/>
              <w:bottom w:type="dxa" w:w="50"/>
              <w:right w:type="dxa" w:w="110"/>
            </w:tcMar>
          </w:tcPr>
          <w:p>
            <w:pPr>
              <w:spacing w:before="28" w:after="28"/>
            </w:pPr>
            <w:r>
              <w:rPr>
                <w:sz w:val="15"/>
                <w:szCs w:val="15"/>
              </w:rPr>
              <w:t xml:space="preserve">901,000</w:t>
            </w:r>
          </w:p>
        </w:tc>
      </w:tr>
      <w:tr>
        <w:tc>
          <w:tcPr>
            <w:tcW w:type="pct" w:w="1826"/>
            <w:shd w:fill="FBFAF6" w:val="clear"/>
            <w:tcMar>
              <w:top w:type="dxa" w:w="50"/>
              <w:left w:type="dxa" w:w="110"/>
              <w:bottom w:type="dxa" w:w="50"/>
              <w:right w:type="dxa" w:w="110"/>
            </w:tcMar>
          </w:tcPr>
          <w:p>
            <w:pPr>
              <w:spacing w:before="28" w:after="28"/>
            </w:pPr>
            <w:r>
              <w:rPr>
                <w:sz w:val="15"/>
                <w:szCs w:val="15"/>
              </w:rPr>
              <w:t xml:space="preserve">Fixed overhead</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605"/>
            <w:shd w:fill="FBFAF6" w:val="clear"/>
            <w:tcMar>
              <w:top w:type="dxa" w:w="50"/>
              <w:left w:type="dxa" w:w="110"/>
              <w:bottom w:type="dxa" w:w="50"/>
              <w:right w:type="dxa" w:w="110"/>
            </w:tcMar>
          </w:tcPr>
          <w:p>
            <w:pPr>
              <w:spacing w:before="28" w:after="28"/>
            </w:pPr>
            <w:r>
              <w:rPr>
                <w:sz w:val="15"/>
                <w:szCs w:val="15"/>
              </w:rPr>
              <w:t xml:space="preserve">450,000</w:t>
            </w:r>
          </w:p>
        </w:tc>
        <w:tc>
          <w:tcPr>
            <w:tcW w:type="pct" w:w="752"/>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1826"/>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605"/>
            <w:tcMar>
              <w:top w:type="dxa" w:w="50"/>
              <w:left w:type="dxa" w:w="110"/>
              <w:bottom w:type="dxa" w:w="50"/>
              <w:right w:type="dxa" w:w="110"/>
            </w:tcMar>
          </w:tcPr>
          <w:p>
            <w:pPr>
              <w:spacing w:before="28" w:after="28"/>
            </w:pPr>
            <w:r>
              <w:rPr>
                <w:sz w:val="15"/>
                <w:szCs w:val="15"/>
              </w:rPr>
              <w:t xml:space="preserve">663,000</w:t>
            </w:r>
          </w:p>
        </w:tc>
        <w:tc>
          <w:tcPr>
            <w:tcW w:type="pct" w:w="605"/>
            <w:tcMar>
              <w:top w:type="dxa" w:w="50"/>
              <w:left w:type="dxa" w:w="110"/>
              <w:bottom w:type="dxa" w:w="50"/>
              <w:right w:type="dxa" w:w="110"/>
            </w:tcMar>
          </w:tcPr>
          <w:p>
            <w:pPr>
              <w:spacing w:before="28" w:after="28"/>
            </w:pPr>
            <w:r>
              <w:rPr>
                <w:sz w:val="15"/>
                <w:szCs w:val="15"/>
              </w:rPr>
              <w:t xml:space="preserve">678,000</w:t>
            </w:r>
          </w:p>
        </w:tc>
        <w:tc>
          <w:tcPr>
            <w:tcW w:type="pct" w:w="605"/>
            <w:tcMar>
              <w:top w:type="dxa" w:w="50"/>
              <w:left w:type="dxa" w:w="110"/>
              <w:bottom w:type="dxa" w:w="50"/>
              <w:right w:type="dxa" w:w="110"/>
            </w:tcMar>
          </w:tcPr>
          <w:p>
            <w:pPr>
              <w:spacing w:before="28" w:after="28"/>
            </w:pPr>
            <w:r>
              <w:rPr>
                <w:sz w:val="15"/>
                <w:szCs w:val="15"/>
              </w:rPr>
              <w:t xml:space="preserve">687,000</w:t>
            </w:r>
          </w:p>
        </w:tc>
        <w:tc>
          <w:tcPr>
            <w:tcW w:type="pct" w:w="605"/>
            <w:tcMar>
              <w:top w:type="dxa" w:w="50"/>
              <w:left w:type="dxa" w:w="110"/>
              <w:bottom w:type="dxa" w:w="50"/>
              <w:right w:type="dxa" w:w="110"/>
            </w:tcMar>
          </w:tcPr>
          <w:p>
            <w:pPr>
              <w:spacing w:before="28" w:after="28"/>
            </w:pPr>
            <w:r>
              <w:rPr>
                <w:sz w:val="15"/>
                <w:szCs w:val="15"/>
              </w:rPr>
              <w:t xml:space="preserve">673,000</w:t>
            </w:r>
          </w:p>
        </w:tc>
        <w:tc>
          <w:tcPr>
            <w:tcW w:type="pct" w:w="752"/>
            <w:tcMar>
              <w:top w:type="dxa" w:w="50"/>
              <w:left w:type="dxa" w:w="110"/>
              <w:bottom w:type="dxa" w:w="50"/>
              <w:right w:type="dxa" w:w="110"/>
            </w:tcMar>
          </w:tcPr>
          <w:p>
            <w:pPr>
              <w:spacing w:before="28" w:after="28"/>
            </w:pPr>
            <w:r>
              <w:rPr>
                <w:sz w:val="15"/>
                <w:szCs w:val="15"/>
              </w:rPr>
              <w:t xml:space="preserve">2,701,000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 item   ·   Machine hours (× 0.02)   ·   Total overhead   ·   Cases to produce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overhead does not follow volume</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Budgeting fixed overhead as an amount per case makes it rise and fall with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In the overhead budget, fixed overhead is the same each quarter; only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overhead follows the driver.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variable   ·   production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overhead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التكاليف الصناعية غير المباشرة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The overhead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Cases to produce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Power and water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Machine hours (× 0.02)</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Maintenance (variable part)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Total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Cleaning supplies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 overhead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Insurance and property tax</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overhead budget has a variable part and a fixed part. Variable overhead moves with its driver, machine hours, at $50.00 an hour; fixed overhead is budgeted item by item and does not change with production.</w:t>
      </w:r>
    </w:p>
    <w:p>
      <w:pPr>
        <w:spacing w:before="20" w:after="20"/>
        <w:ind w:left="240" w:hanging="240"/>
      </w:pPr>
      <w:r>
        <w:rPr>
          <w:b/>
          <w:bCs/>
          <w:color w:val="353A7C"/>
          <w:sz w:val="15"/>
          <w:szCs w:val="15"/>
        </w:rPr>
        <w:t xml:space="preserve">Summary 2   </w:t>
      </w:r>
      <w:r>
        <w:rPr>
          <w:color w:val="6B7280"/>
          <w:sz w:val="15"/>
          <w:szCs w:val="15"/>
        </w:rPr>
        <w:t xml:space="preserve">First quarter: 213,000 cases × 0.02 = 4,260 machine hours × $50.00 = $213,000 variable, plus $450,000 fixed = $663,000.</w:t>
      </w:r>
    </w:p>
    <w:p>
      <w:pPr>
        <w:spacing w:before="20" w:after="20"/>
        <w:ind w:left="240" w:hanging="240"/>
      </w:pPr>
      <w:r>
        <w:rPr>
          <w:b/>
          <w:bCs/>
          <w:color w:val="353A7C"/>
          <w:sz w:val="15"/>
          <w:szCs w:val="15"/>
        </w:rPr>
        <w:t xml:space="preserve">Summary 3   </w:t>
      </w:r>
      <w:r>
        <w:rPr>
          <w:color w:val="6B7280"/>
          <w:sz w:val="15"/>
          <w:szCs w:val="15"/>
        </w:rPr>
        <w:t xml:space="preserve">Budgeting fixed overhead as an amount per case makes it rise and fall with production. In the overhead budget, fixed overhead is the same each quarter; only variable overhead follows the driver.</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Extended Example 7A: the manufacturing cost budget and the summer test</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brings the three budgets together and tests the busiest quarter.</w:t>
      </w:r>
    </w:p>
    <w:p>
      <w:pPr>
        <w:spacing w:before="44" w:after="10"/>
      </w:pPr>
      <w:r>
        <w:rPr>
          <w:b/>
          <w:bCs/>
          <w:color w:val="353A7C"/>
          <w:sz w:val="18"/>
          <w:szCs w:val="18"/>
        </w:rPr>
        <w:t xml:space="preserve">Extended Example: the manufacturing cost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15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153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Concentrate used   ·   Bottles   ·   just-in-time (JIT)   ·   Budgeted manufacturing cost   ·   Direct labor</w:t>
            </w:r>
          </w:p>
        </w:tc>
      </w:tr>
    </w:tbl>
    <w:p/>
    <w:p>
      <w:pPr>
        <w:spacing w:before="44" w:after="14"/>
      </w:pPr>
      <w:r>
        <w:rPr>
          <w:b/>
          <w:bCs/>
          <w:color w:val="353A7C"/>
          <w:sz w:val="18"/>
          <w:szCs w:val="18"/>
        </w:rPr>
        <w:t xml:space="preserve">Summary 1</w:t>
      </w:r>
      <w:r>
        <w:rPr>
          <w:color w:val="6B7280"/>
          <w:sz w:val="16"/>
          <w:szCs w:val="16"/>
        </w:rPr>
        <w:t xml:space="preserve">      gaps 5–6</w:t>
      </w:r>
    </w:p>
    <w:p>
      <w:pPr>
        <w:spacing w:before="20" w:after="20" w:line="360" w:lineRule="auto"/>
        <w:ind w:left="200"/>
      </w:pPr>
      <w:r>
        <w:rPr>
          <w:sz w:val="19"/>
          <w:szCs w:val="19"/>
        </w:rPr>
        <w:t xml:space="preserve">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901,000 cases × $12.60 = $11,352,600. </w:t>
      </w:r>
      <w:r>
        <w:rPr>
          <w:sz w:val="19"/>
          <w:szCs w:val="19"/>
        </w:rPr>
        <w:t xml:space="preserve">The budget is $2,000 lower because fixed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a fixed amount, while the card spreads it over a normal volume of 900,000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   budgets   ·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3. Can the third quarter be done?</w:t>
            </w:r>
          </w:p>
        </w:tc>
      </w:tr>
    </w:tbl>
    <w:p/>
    <w:p>
      <w:pPr>
        <w:spacing w:before="44" w:after="10"/>
      </w:pPr>
      <w:r>
        <w:rPr>
          <w:b/>
          <w:bCs/>
          <w:color w:val="353A7C"/>
          <w:sz w:val="18"/>
          <w:szCs w:val="18"/>
        </w:rPr>
        <w:t xml:space="preserve">Extended Example: can the third quarter be done?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hours   ·   just-in-time (JIT)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20" w:after="20" w:line="360" w:lineRule="auto"/>
        <w:ind w:left="200"/>
      </w:pPr>
      <w:r>
        <w:rPr>
          <w:sz w:val="19"/>
          <w:szCs w:val="19"/>
        </w:rPr>
        <w:t xml:space="preserve">Concentrate purchases 5,409,000 liters = usage 5,406,000 + ending 130,800 − beginning 127,800.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Expect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budget and a materials policy. </w:t>
      </w:r>
      <w:r>
        <w:rPr>
          <w:sz w:val="19"/>
          <w:szCs w:val="19"/>
        </w:rPr>
        <w:t xml:space="preserve">Compute usage,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units and dollars, labor hours and cost, and overhead by variable and fixed parts. </w:t>
      </w:r>
      <w:r>
        <w:rPr>
          <w:sz w:val="19"/>
          <w:szCs w:val="19"/>
        </w:rPr>
        <w:t xml:space="preserve">Then compare the hours or materials with what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purchases   ·   overhead   ·   production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Jars to produce: second quarter</w:t>
            </w:r>
          </w:p>
        </w:tc>
        <w:tc>
          <w:tcPr>
            <w:tcW w:type="pct" w:w="2400"/>
            <w:tcMar>
              <w:top w:type="dxa" w:w="50"/>
              <w:left w:type="dxa" w:w="110"/>
              <w:bottom w:type="dxa" w:w="50"/>
              <w:right w:type="dxa" w:w="110"/>
            </w:tcMar>
          </w:tcPr>
          <w:p>
            <w:pPr>
              <w:spacing w:before="28" w:after="28"/>
            </w:pPr>
            <w:r>
              <w:rPr>
                <w:sz w:val="15"/>
                <w:szCs w:val="15"/>
              </w:rPr>
              <w:t xml:space="preserve">382,000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to produce: third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396,000</w:t>
            </w:r>
          </w:p>
        </w:tc>
      </w:tr>
      <w:tr>
        <w:tc>
          <w:tcPr>
            <w:tcW w:type="pct" w:w="2600"/>
            <w:tcMar>
              <w:top w:type="dxa" w:w="50"/>
              <w:left w:type="dxa" w:w="110"/>
              <w:bottom w:type="dxa" w:w="50"/>
              <w:right w:type="dxa" w:w="110"/>
            </w:tcMar>
          </w:tcPr>
          <w:p>
            <w:pPr>
              <w:spacing w:before="28" w:after="28"/>
            </w:pPr>
            <w:r>
              <w:rPr>
                <w:sz w:val="15"/>
                <w:szCs w:val="15"/>
              </w:rPr>
              <w:t xml:space="preserve">Sesame paste per jar</w:t>
            </w:r>
          </w:p>
        </w:tc>
        <w:tc>
          <w:tcPr>
            <w:tcW w:type="pct" w:w="2400"/>
            <w:tcMar>
              <w:top w:type="dxa" w:w="50"/>
              <w:left w:type="dxa" w:w="110"/>
              <w:bottom w:type="dxa" w:w="50"/>
              <w:right w:type="dxa" w:w="110"/>
            </w:tcMar>
          </w:tcPr>
          <w:p>
            <w:pPr>
              <w:spacing w:before="28" w:after="28"/>
            </w:pPr>
            <w:r>
              <w:rPr>
                <w:sz w:val="15"/>
                <w:szCs w:val="15"/>
              </w:rPr>
              <w:t xml:space="preserve">0.50 kg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Price of sesame paste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600"/>
            <w:tcMar>
              <w:top w:type="dxa" w:w="50"/>
              <w:left w:type="dxa" w:w="110"/>
              <w:bottom w:type="dxa" w:w="50"/>
              <w:right w:type="dxa" w:w="110"/>
            </w:tcMar>
          </w:tcPr>
          <w:p>
            <w:pPr>
              <w:spacing w:before="28" w:after="28"/>
            </w:pPr>
            <w:r>
              <w:rPr>
                <w:sz w:val="15"/>
                <w:szCs w:val="15"/>
              </w:rPr>
              <w:t xml:space="preserve">Ending sesame stock</w:t>
            </w:r>
          </w:p>
        </w:tc>
        <w:tc>
          <w:tcPr>
            <w:tcW w:type="pct" w:w="2400"/>
            <w:tcMar>
              <w:top w:type="dxa" w:w="50"/>
              <w:left w:type="dxa" w:w="110"/>
              <w:bottom w:type="dxa" w:w="50"/>
              <w:right w:type="dxa" w:w="110"/>
            </w:tcMar>
          </w:tcPr>
          <w:p>
            <w:pPr>
              <w:spacing w:before="28" w:after="28"/>
            </w:pPr>
            <w:r>
              <w:rPr>
                <w:sz w:val="15"/>
                <w:szCs w:val="15"/>
              </w:rPr>
              <w:t xml:space="preserve">20% of next quarter's needs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Labor per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600"/>
            <w:tcMar>
              <w:top w:type="dxa" w:w="50"/>
              <w:left w:type="dxa" w:w="110"/>
              <w:bottom w:type="dxa" w:w="50"/>
              <w:right w:type="dxa" w:w="110"/>
            </w:tcMar>
          </w:tcPr>
          <w:p>
            <w:pPr>
              <w:spacing w:before="28" w:after="28"/>
            </w:pPr>
            <w:r>
              <w:rPr>
                <w:sz w:val="15"/>
                <w:szCs w:val="15"/>
              </w:rPr>
              <w:t xml:space="preserve">Labor rate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Labor hours available in the second quarter</w:t>
            </w:r>
          </w:p>
        </w:tc>
        <w:tc>
          <w:tcPr>
            <w:tcW w:type="pct" w:w="2400"/>
            <w:shd w:fill="FBFAF6" w:val="clear"/>
            <w:tcMar>
              <w:top w:type="dxa" w:w="50"/>
              <w:left w:type="dxa" w:w="110"/>
              <w:bottom w:type="dxa" w:w="50"/>
              <w:right w:type="dxa" w:w="110"/>
            </w:tcMar>
          </w:tcPr>
          <w:p>
            <w:pPr>
              <w:spacing w:before="28" w:after="28"/>
            </w:pPr>
            <w:r>
              <w:rPr>
                <w:sz w:val="15"/>
                <w:szCs w:val="15"/>
              </w:rPr>
              <w:t xml:space="preserve">4,500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$2.50 a kg   ·   $15.00 an hour   ·   0.50 kg   ·   0.012 hours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Q3</w:t>
            </w:r>
          </w:p>
        </w:tc>
        <w:tc>
          <w:tcPr>
            <w:tcW w:type="pct" w:w="2600"/>
            <w:tcMar>
              <w:top w:type="dxa" w:w="50"/>
              <w:left w:type="dxa" w:w="110"/>
              <w:bottom w:type="dxa" w:w="50"/>
              <w:right w:type="dxa" w:w="110"/>
            </w:tcMar>
          </w:tcPr>
          <w:p>
            <w:pPr>
              <w:spacing w:before="26" w:after="26"/>
            </w:pPr>
            <w:r>
              <w:rPr>
                <w:color w:val="232733"/>
                <w:sz w:val="16"/>
                <w:szCs w:val="16"/>
              </w:rPr>
              <w:t xml:space="preserve">1,422,000 + 133,800 = 1,555,800; − 142,200 = 1,413,600 liters; × $0.90 = $1,272,240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Q4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1,338,000 + 130,800 (10% of 1,308,000) = 1,468,800; − 133,800 = 1,335,000 liters; × $0.90 = $1,201,500</w:t>
            </w:r>
          </w:p>
        </w:tc>
      </w:tr>
    </w:tbl>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of the tahini plant   ·   Power for the filling line   ·   Ending stock of sesame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direct materials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المواد المباشرة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direct labor budget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موازنة العمل المباشر</w:t>
            </w:r>
          </w:p>
        </w:tc>
      </w:tr>
      <w:tr>
        <w:tc>
          <w:tcPr>
            <w:tcW w:type="pct" w:w="2400"/>
            <w:tcMar>
              <w:top w:type="dxa" w:w="50"/>
              <w:left w:type="dxa" w:w="110"/>
              <w:bottom w:type="dxa" w:w="50"/>
              <w:right w:type="dxa" w:w="110"/>
            </w:tcMar>
          </w:tcPr>
          <w:p>
            <w:pPr>
              <w:spacing w:before="26" w:after="26"/>
            </w:pPr>
            <w:r>
              <w:rPr>
                <w:color w:val="232733"/>
                <w:sz w:val="16"/>
                <w:szCs w:val="16"/>
              </w:rPr>
              <w:t xml:space="preserve">overhead budget</w:t>
            </w:r>
          </w:p>
        </w:tc>
        <w:tc>
          <w:tcPr>
            <w:tcW w:type="pct" w:w="2600"/>
            <w:tcMar>
              <w:top w:type="dxa" w:w="50"/>
              <w:left w:type="dxa" w:w="110"/>
              <w:bottom w:type="dxa" w:w="50"/>
              <w:right w:type="dxa" w:w="110"/>
            </w:tcMar>
          </w:tcPr>
          <w:p>
            <w:pPr>
              <w:spacing w:before="26" w:after="26"/>
            </w:pPr>
            <w:r>
              <w:rPr>
                <w:color w:val="232733"/>
                <w:sz w:val="16"/>
                <w:szCs w:val="16"/>
              </w:rPr>
              <w:t xml:space="preserve">موازنة التكاليف الصناعية غير المباشرة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Extended Example 7A: the manufacturing cost budget and the summer test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Concentrate used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Bottles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available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Direct labor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$2.50 a kg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Budgeted manufacturing cost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0.012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$15.00 an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Ending stock of sesame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Machine hours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Power for the filling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standard, 901,000 cases × $12.60 = $11,352,600. The budget is $2,000 lower because fixed overhead is a fixed amount, while the card spreads it over a normal volume of 900,000 cases.</w:t>
      </w:r>
    </w:p>
    <w:p>
      <w:pPr>
        <w:spacing w:before="20" w:after="20"/>
        <w:ind w:left="240" w:hanging="240"/>
      </w:pPr>
      <w:r>
        <w:rPr>
          <w:b/>
          <w:bCs/>
          <w:color w:val="353A7C"/>
          <w:sz w:val="15"/>
          <w:szCs w:val="15"/>
        </w:rPr>
        <w:t xml:space="preserve">Summary 2   </w:t>
      </w:r>
      <w:r>
        <w:rPr>
          <w:color w:val="6B7280"/>
          <w:sz w:val="15"/>
          <w:szCs w:val="15"/>
        </w:rPr>
        <w:t xml:space="preserve">Expect a production budget and a materials policy. Compute usage, purchases in units and dollars, labor hours and cost, and overhead by variable and fixed parts. Then compare the hours or materials with what is available.</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From production to inputs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The direct materials budget</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The direct labor budget</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The overhead budget</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Extended Example 7A: the manufacturing cost budget and the summer test</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2f671e2a78e76362e65762553a4ca2988abd254.png" Type="http://schemas.openxmlformats.org/officeDocument/2006/relationships/image"/><Relationship Id="rId102" Target="media/3d6ce52fdfb007bc77203dae0e99e64d037ba011.png" Type="http://schemas.openxmlformats.org/officeDocument/2006/relationships/image"/><Relationship Id="rId103" Target="media/4a1aa4957876040af2cbcdb29edf6e53037f65f2.png" Type="http://schemas.openxmlformats.org/officeDocument/2006/relationships/image"/><Relationship Id="rId104" Target="media/1e77b018136c69ff8f0ddfee93a84642f9547efa.png" Type="http://schemas.openxmlformats.org/officeDocument/2006/relationships/image"/><Relationship Id="rId105" Target="media/49cff61dce87aac92f008d185511e97a27271401.png" Type="http://schemas.openxmlformats.org/officeDocument/2006/relationships/image"/><Relationship Id="rId106" Target="media/3ed8cd706691e0c2e5f2c5a596de7965d383634e.png" Type="http://schemas.openxmlformats.org/officeDocument/2006/relationships/image"/><Relationship Id="rId107" Target="media/0ef7c1bd91adbd9208e8469bc7b4b04b0f18b9e2.png" Type="http://schemas.openxmlformats.org/officeDocument/2006/relationships/image"/><Relationship Id="rId108" Target="media/26bd308f72068782ead4ed8268e327e63549037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7</dc:title>
  <dc:subject>Summary handouts</dc:subject>
  <cp:category>Student Book</cp:category>
</cp:coreProperties>
</file>