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first quarter,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half the training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installation   ·   equipment   ·   training</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policy, not the sales budget. </w:t>
      </w:r>
      <w:r>
        <w:rPr>
          <w:sz w:val="19"/>
          <w:szCs w:val="19"/>
        </w:rPr>
        <w:t xml:space="preserve">Beverages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fourth-quarter   ·   supplier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collections   ·   cash disbursements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terms in the same way.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supplier is paid 50% in the quarter of purchase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concentrate   ·   payment</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An answer that puts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schedule and a payments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purchases   ·   collections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cash collections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cash available; minus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gives cash before financing; borrowing, interest and repayments give ending cash.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administrative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repayments   ·   Management   ·   disbursements   ·   collections   ·   Non-cash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borrows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Beverages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11"/>
        <w:gridCol w:w="1679"/>
        <w:gridCol w:w="1661"/>
        <w:gridCol w:w="1670"/>
        <w:gridCol w:w="157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568"/>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22"/>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568"/>
            <w:tcMar>
              <w:top w:type="dxa" w:w="50"/>
              <w:left w:type="dxa" w:w="110"/>
              <w:bottom w:type="dxa" w:w="50"/>
              <w:right w:type="dxa" w:w="110"/>
            </w:tcMar>
          </w:tcPr>
          <w:p>
            <w:pPr>
              <w:spacing w:before="28" w:after="28"/>
            </w:pPr>
            <w:r>
              <w:rPr>
                <w:sz w:val="15"/>
                <w:szCs w:val="15"/>
              </w:rPr>
              <w:t xml:space="preserve">Beginning cash</w:t>
            </w:r>
          </w:p>
        </w:tc>
        <w:tc>
          <w:tcPr>
            <w:tcW w:type="pct" w:w="874"/>
            <w:tcMar>
              <w:top w:type="dxa" w:w="50"/>
              <w:left w:type="dxa" w:w="110"/>
              <w:bottom w:type="dxa" w:w="50"/>
              <w:right w:type="dxa" w:w="110"/>
            </w:tcMar>
          </w:tcPr>
          <w:p>
            <w:pPr>
              <w:spacing w:before="28" w:after="28"/>
            </w:pPr>
            <w:r>
              <w:rPr>
                <w:sz w:val="15"/>
                <w:szCs w:val="15"/>
              </w:rPr>
              <w:t xml:space="preserve">500,000</w:t>
            </w:r>
          </w:p>
        </w:tc>
        <w:tc>
          <w:tcPr>
            <w:tcW w:type="pct" w:w="865"/>
            <w:tcMar>
              <w:top w:type="dxa" w:w="50"/>
              <w:left w:type="dxa" w:w="110"/>
              <w:bottom w:type="dxa" w:w="50"/>
              <w:right w:type="dxa" w:w="110"/>
            </w:tcMar>
          </w:tcPr>
          <w:p>
            <w:pPr>
              <w:spacing w:before="28" w:after="28"/>
            </w:pPr>
            <w:r>
              <w:rPr>
                <w:sz w:val="15"/>
                <w:szCs w:val="15"/>
              </w:rPr>
              <w:t xml:space="preserve">456,250</w:t>
            </w:r>
          </w:p>
        </w:tc>
        <w:tc>
          <w:tcPr>
            <w:tcW w:type="pct" w:w="870"/>
            <w:tcMar>
              <w:top w:type="dxa" w:w="50"/>
              <w:left w:type="dxa" w:w="110"/>
              <w:bottom w:type="dxa" w:w="50"/>
              <w:right w:type="dxa" w:w="110"/>
            </w:tcMar>
          </w:tcPr>
          <w:p>
            <w:pPr>
              <w:spacing w:before="28" w:after="28"/>
            </w:pPr>
            <w:r>
              <w:rPr>
                <w:sz w:val="15"/>
                <w:szCs w:val="15"/>
              </w:rPr>
              <w:t xml:space="preserve">403,470</w:t>
            </w:r>
          </w:p>
        </w:tc>
        <w:tc>
          <w:tcPr>
            <w:tcW w:type="pct" w:w="822"/>
            <w:tcMar>
              <w:top w:type="dxa" w:w="50"/>
              <w:left w:type="dxa" w:w="110"/>
              <w:bottom w:type="dxa" w:w="50"/>
              <w:right w:type="dxa" w:w="110"/>
            </w:tcMar>
          </w:tcPr>
          <w:p>
            <w:pPr>
              <w:spacing w:before="28" w:after="28"/>
            </w:pPr>
            <w:r>
              <w:rPr>
                <w:sz w:val="15"/>
                <w:szCs w:val="15"/>
              </w:rPr>
              <w:t xml:space="preserve">538,920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74"/>
            <w:shd w:fill="FBFAF6" w:val="clear"/>
            <w:tcMar>
              <w:top w:type="dxa" w:w="50"/>
              <w:left w:type="dxa" w:w="110"/>
              <w:bottom w:type="dxa" w:w="50"/>
              <w:right w:type="dxa" w:w="110"/>
            </w:tcMar>
          </w:tcPr>
          <w:p>
            <w:pPr>
              <w:spacing w:before="28" w:after="28"/>
            </w:pPr>
            <w:r>
              <w:rPr>
                <w:sz w:val="15"/>
                <w:szCs w:val="15"/>
              </w:rPr>
              <w:t xml:space="preserve">4,140,000</w:t>
            </w:r>
          </w:p>
        </w:tc>
        <w:tc>
          <w:tcPr>
            <w:tcW w:type="pct" w:w="865"/>
            <w:shd w:fill="FBFAF6" w:val="clear"/>
            <w:tcMar>
              <w:top w:type="dxa" w:w="50"/>
              <w:left w:type="dxa" w:w="110"/>
              <w:bottom w:type="dxa" w:w="50"/>
              <w:right w:type="dxa" w:w="110"/>
            </w:tcMar>
          </w:tcPr>
          <w:p>
            <w:pPr>
              <w:spacing w:before="28" w:after="28"/>
            </w:pPr>
            <w:r>
              <w:rPr>
                <w:sz w:val="15"/>
                <w:szCs w:val="15"/>
              </w:rPr>
              <w:t xml:space="preserve">4,320,000</w:t>
            </w:r>
          </w:p>
        </w:tc>
        <w:tc>
          <w:tcPr>
            <w:tcW w:type="pct" w:w="870"/>
            <w:shd w:fill="FBFAF6" w:val="clear"/>
            <w:tcMar>
              <w:top w:type="dxa" w:w="50"/>
              <w:left w:type="dxa" w:w="110"/>
              <w:bottom w:type="dxa" w:w="50"/>
              <w:right w:type="dxa" w:w="110"/>
            </w:tcMar>
          </w:tcPr>
          <w:p>
            <w:pPr>
              <w:spacing w:before="28" w:after="28"/>
            </w:pPr>
            <w:r>
              <w:rPr>
                <w:sz w:val="15"/>
                <w:szCs w:val="15"/>
              </w:rPr>
              <w:t xml:space="preserve">4,620,000</w:t>
            </w:r>
          </w:p>
        </w:tc>
        <w:tc>
          <w:tcPr>
            <w:tcW w:type="pct" w:w="822"/>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4"/>
            <w:tcMar>
              <w:top w:type="dxa" w:w="50"/>
              <w:left w:type="dxa" w:w="110"/>
              <w:bottom w:type="dxa" w:w="50"/>
              <w:right w:type="dxa" w:w="110"/>
            </w:tcMar>
          </w:tcPr>
          <w:p>
            <w:pPr>
              <w:spacing w:before="28" w:after="28"/>
            </w:pPr>
            <w:r>
              <w:rPr>
                <w:sz w:val="15"/>
                <w:szCs w:val="15"/>
              </w:rPr>
              <w:t xml:space="preserve">4,640,000</w:t>
            </w:r>
          </w:p>
        </w:tc>
        <w:tc>
          <w:tcPr>
            <w:tcW w:type="pct" w:w="865"/>
            <w:tcMar>
              <w:top w:type="dxa" w:w="50"/>
              <w:left w:type="dxa" w:w="110"/>
              <w:bottom w:type="dxa" w:w="50"/>
              <w:right w:type="dxa" w:w="110"/>
            </w:tcMar>
          </w:tcPr>
          <w:p>
            <w:pPr>
              <w:spacing w:before="28" w:after="28"/>
            </w:pPr>
            <w:r>
              <w:rPr>
                <w:sz w:val="15"/>
                <w:szCs w:val="15"/>
              </w:rPr>
              <w:t xml:space="preserve">4,776,250</w:t>
            </w:r>
          </w:p>
        </w:tc>
        <w:tc>
          <w:tcPr>
            <w:tcW w:type="pct" w:w="870"/>
            <w:tcMar>
              <w:top w:type="dxa" w:w="50"/>
              <w:left w:type="dxa" w:w="110"/>
              <w:bottom w:type="dxa" w:w="50"/>
              <w:right w:type="dxa" w:w="110"/>
            </w:tcMar>
          </w:tcPr>
          <w:p>
            <w:pPr>
              <w:spacing w:before="28" w:after="28"/>
            </w:pPr>
            <w:r>
              <w:rPr>
                <w:sz w:val="15"/>
                <w:szCs w:val="15"/>
              </w:rPr>
              <w:t xml:space="preserve">5,023,470</w:t>
            </w:r>
          </w:p>
        </w:tc>
        <w:tc>
          <w:tcPr>
            <w:tcW w:type="pct" w:w="822"/>
            <w:tcMar>
              <w:top w:type="dxa" w:w="50"/>
              <w:left w:type="dxa" w:w="110"/>
              <w:bottom w:type="dxa" w:w="50"/>
              <w:right w:type="dxa" w:w="110"/>
            </w:tcMar>
          </w:tcPr>
          <w:p>
            <w:pPr>
              <w:spacing w:before="28" w:after="28"/>
            </w:pPr>
            <w:r>
              <w:rPr>
                <w:sz w:val="15"/>
                <w:szCs w:val="15"/>
              </w:rPr>
              <w:t xml:space="preserve">5,218,920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74"/>
            <w:shd w:fill="FBFAF6" w:val="clear"/>
            <w:tcMar>
              <w:top w:type="dxa" w:w="50"/>
              <w:left w:type="dxa" w:w="110"/>
              <w:bottom w:type="dxa" w:w="50"/>
              <w:right w:type="dxa" w:w="110"/>
            </w:tcMar>
          </w:tcPr>
          <w:p>
            <w:pPr>
              <w:spacing w:before="28" w:after="28"/>
            </w:pPr>
            <w:r>
              <w:rPr>
                <w:sz w:val="15"/>
                <w:szCs w:val="15"/>
              </w:rPr>
              <w:t xml:space="preserve">(1,154,150)</w:t>
            </w:r>
          </w:p>
        </w:tc>
        <w:tc>
          <w:tcPr>
            <w:tcW w:type="pct" w:w="865"/>
            <w:shd w:fill="FBFAF6" w:val="clear"/>
            <w:tcMar>
              <w:top w:type="dxa" w:w="50"/>
              <w:left w:type="dxa" w:w="110"/>
              <w:bottom w:type="dxa" w:w="50"/>
              <w:right w:type="dxa" w:w="110"/>
            </w:tcMar>
          </w:tcPr>
          <w:p>
            <w:pPr>
              <w:spacing w:before="28" w:after="28"/>
            </w:pPr>
            <w:r>
              <w:rPr>
                <w:sz w:val="15"/>
                <w:szCs w:val="15"/>
              </w:rPr>
              <w:t xml:space="preserve">(1,197,180)</w:t>
            </w:r>
          </w:p>
        </w:tc>
        <w:tc>
          <w:tcPr>
            <w:tcW w:type="pct" w:w="870"/>
            <w:shd w:fill="FBFAF6" w:val="clear"/>
            <w:tcMar>
              <w:top w:type="dxa" w:w="50"/>
              <w:left w:type="dxa" w:w="110"/>
              <w:bottom w:type="dxa" w:w="50"/>
              <w:right w:type="dxa" w:w="110"/>
            </w:tcMar>
          </w:tcPr>
          <w:p>
            <w:pPr>
              <w:spacing w:before="28" w:after="28"/>
            </w:pPr>
            <w:r>
              <w:rPr>
                <w:sz w:val="15"/>
                <w:szCs w:val="15"/>
              </w:rPr>
              <w:t xml:space="preserve">(1,254,150)</w:t>
            </w:r>
          </w:p>
        </w:tc>
        <w:tc>
          <w:tcPr>
            <w:tcW w:type="pct" w:w="822"/>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568"/>
            <w:tcMar>
              <w:top w:type="dxa" w:w="50"/>
              <w:left w:type="dxa" w:w="110"/>
              <w:bottom w:type="dxa" w:w="50"/>
              <w:right w:type="dxa" w:w="110"/>
            </w:tcMar>
          </w:tcPr>
          <w:p>
            <w:pPr>
              <w:spacing w:before="28" w:after="28"/>
            </w:pPr>
            <w:r>
              <w:rPr>
                <w:sz w:val="15"/>
                <w:szCs w:val="15"/>
              </w:rPr>
              <w:t xml:space="preserve">Bottles, caps and cartons</w:t>
            </w:r>
          </w:p>
        </w:tc>
        <w:tc>
          <w:tcPr>
            <w:tcW w:type="pct" w:w="874"/>
            <w:tcMar>
              <w:top w:type="dxa" w:w="50"/>
              <w:left w:type="dxa" w:w="110"/>
              <w:bottom w:type="dxa" w:w="50"/>
              <w:right w:type="dxa" w:w="110"/>
            </w:tcMar>
          </w:tcPr>
          <w:p>
            <w:pPr>
              <w:spacing w:before="28" w:after="28"/>
            </w:pPr>
            <w:r>
              <w:rPr>
                <w:sz w:val="15"/>
                <w:szCs w:val="15"/>
              </w:rPr>
              <w:t xml:space="preserve">(766,800)</w:t>
            </w:r>
          </w:p>
        </w:tc>
        <w:tc>
          <w:tcPr>
            <w:tcW w:type="pct" w:w="865"/>
            <w:tcMar>
              <w:top w:type="dxa" w:w="50"/>
              <w:left w:type="dxa" w:w="110"/>
              <w:bottom w:type="dxa" w:w="50"/>
              <w:right w:type="dxa" w:w="110"/>
            </w:tcMar>
          </w:tcPr>
          <w:p>
            <w:pPr>
              <w:spacing w:before="28" w:after="28"/>
            </w:pPr>
            <w:r>
              <w:rPr>
                <w:sz w:val="15"/>
                <w:szCs w:val="15"/>
              </w:rPr>
              <w:t xml:space="preserve">(820,800)</w:t>
            </w:r>
          </w:p>
        </w:tc>
        <w:tc>
          <w:tcPr>
            <w:tcW w:type="pct" w:w="870"/>
            <w:tcMar>
              <w:top w:type="dxa" w:w="50"/>
              <w:left w:type="dxa" w:w="110"/>
              <w:bottom w:type="dxa" w:w="50"/>
              <w:right w:type="dxa" w:w="110"/>
            </w:tcMar>
          </w:tcPr>
          <w:p>
            <w:pPr>
              <w:spacing w:before="28" w:after="28"/>
            </w:pPr>
            <w:r>
              <w:rPr>
                <w:sz w:val="15"/>
                <w:szCs w:val="15"/>
              </w:rPr>
              <w:t xml:space="preserve">(853,200)</w:t>
            </w:r>
          </w:p>
        </w:tc>
        <w:tc>
          <w:tcPr>
            <w:tcW w:type="pct" w:w="822"/>
            <w:tcMar>
              <w:top w:type="dxa" w:w="50"/>
              <w:left w:type="dxa" w:w="110"/>
              <w:bottom w:type="dxa" w:w="50"/>
              <w:right w:type="dxa" w:w="110"/>
            </w:tcMar>
          </w:tcPr>
          <w:p>
            <w:pPr>
              <w:spacing w:before="28" w:after="28"/>
            </w:pPr>
            <w:r>
              <w:rPr>
                <w:sz w:val="15"/>
                <w:szCs w:val="15"/>
              </w:rPr>
              <w:t xml:space="preserve">(802,800)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74"/>
            <w:shd w:fill="FBFAF6" w:val="clear"/>
            <w:tcMar>
              <w:top w:type="dxa" w:w="50"/>
              <w:left w:type="dxa" w:w="110"/>
              <w:bottom w:type="dxa" w:w="50"/>
              <w:right w:type="dxa" w:w="110"/>
            </w:tcMar>
          </w:tcPr>
          <w:p>
            <w:pPr>
              <w:spacing w:before="28" w:after="28"/>
            </w:pPr>
            <w:r>
              <w:rPr>
                <w:sz w:val="15"/>
                <w:szCs w:val="15"/>
              </w:rPr>
              <w:t xml:space="preserve">(127,800)</w:t>
            </w:r>
          </w:p>
        </w:tc>
        <w:tc>
          <w:tcPr>
            <w:tcW w:type="pct" w:w="865"/>
            <w:shd w:fill="FBFAF6" w:val="clear"/>
            <w:tcMar>
              <w:top w:type="dxa" w:w="50"/>
              <w:left w:type="dxa" w:w="110"/>
              <w:bottom w:type="dxa" w:w="50"/>
              <w:right w:type="dxa" w:w="110"/>
            </w:tcMar>
          </w:tcPr>
          <w:p>
            <w:pPr>
              <w:spacing w:before="28" w:after="28"/>
            </w:pPr>
            <w:r>
              <w:rPr>
                <w:sz w:val="15"/>
                <w:szCs w:val="15"/>
              </w:rPr>
              <w:t xml:space="preserve">(136,800)</w:t>
            </w:r>
          </w:p>
        </w:tc>
        <w:tc>
          <w:tcPr>
            <w:tcW w:type="pct" w:w="870"/>
            <w:shd w:fill="FBFAF6" w:val="clear"/>
            <w:tcMar>
              <w:top w:type="dxa" w:w="50"/>
              <w:left w:type="dxa" w:w="110"/>
              <w:bottom w:type="dxa" w:w="50"/>
              <w:right w:type="dxa" w:w="110"/>
            </w:tcMar>
          </w:tcPr>
          <w:p>
            <w:pPr>
              <w:spacing w:before="28" w:after="28"/>
            </w:pPr>
            <w:r>
              <w:rPr>
                <w:sz w:val="15"/>
                <w:szCs w:val="15"/>
              </w:rPr>
              <w:t xml:space="preserve">(142,200)</w:t>
            </w:r>
          </w:p>
        </w:tc>
        <w:tc>
          <w:tcPr>
            <w:tcW w:type="pct" w:w="822"/>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4"/>
            <w:tcMar>
              <w:top w:type="dxa" w:w="50"/>
              <w:left w:type="dxa" w:w="110"/>
              <w:bottom w:type="dxa" w:w="50"/>
              <w:right w:type="dxa" w:w="110"/>
            </w:tcMar>
          </w:tcPr>
          <w:p>
            <w:pPr>
              <w:spacing w:before="28" w:after="28"/>
            </w:pPr>
            <w:r>
              <w:rPr>
                <w:sz w:val="15"/>
                <w:szCs w:val="15"/>
              </w:rPr>
              <w:t xml:space="preserve">(213,000)</w:t>
            </w:r>
          </w:p>
        </w:tc>
        <w:tc>
          <w:tcPr>
            <w:tcW w:type="pct" w:w="865"/>
            <w:tcMar>
              <w:top w:type="dxa" w:w="50"/>
              <w:left w:type="dxa" w:w="110"/>
              <w:bottom w:type="dxa" w:w="50"/>
              <w:right w:type="dxa" w:w="110"/>
            </w:tcMar>
          </w:tcPr>
          <w:p>
            <w:pPr>
              <w:spacing w:before="28" w:after="28"/>
            </w:pPr>
            <w:r>
              <w:rPr>
                <w:sz w:val="15"/>
                <w:szCs w:val="15"/>
              </w:rPr>
              <w:t xml:space="preserve">(228,000)</w:t>
            </w:r>
          </w:p>
        </w:tc>
        <w:tc>
          <w:tcPr>
            <w:tcW w:type="pct" w:w="870"/>
            <w:tcMar>
              <w:top w:type="dxa" w:w="50"/>
              <w:left w:type="dxa" w:w="110"/>
              <w:bottom w:type="dxa" w:w="50"/>
              <w:right w:type="dxa" w:w="110"/>
            </w:tcMar>
          </w:tcPr>
          <w:p>
            <w:pPr>
              <w:spacing w:before="28" w:after="28"/>
            </w:pPr>
            <w:r>
              <w:rPr>
                <w:sz w:val="15"/>
                <w:szCs w:val="15"/>
              </w:rPr>
              <w:t xml:space="preserve">(237,000)</w:t>
            </w:r>
          </w:p>
        </w:tc>
        <w:tc>
          <w:tcPr>
            <w:tcW w:type="pct" w:w="822"/>
            <w:tcMar>
              <w:top w:type="dxa" w:w="50"/>
              <w:left w:type="dxa" w:w="110"/>
              <w:bottom w:type="dxa" w:w="50"/>
              <w:right w:type="dxa" w:w="110"/>
            </w:tcMar>
          </w:tcPr>
          <w:p>
            <w:pPr>
              <w:spacing w:before="28" w:after="28"/>
            </w:pPr>
            <w:r>
              <w:rPr>
                <w:sz w:val="15"/>
                <w:szCs w:val="15"/>
              </w:rPr>
              <w:t xml:space="preserve">(223,000)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4"/>
            <w:shd w:fill="FBFAF6" w:val="clear"/>
            <w:tcMar>
              <w:top w:type="dxa" w:w="50"/>
              <w:left w:type="dxa" w:w="110"/>
              <w:bottom w:type="dxa" w:w="50"/>
              <w:right w:type="dxa" w:w="110"/>
            </w:tcMar>
          </w:tcPr>
          <w:p>
            <w:pPr>
              <w:spacing w:before="28" w:after="28"/>
            </w:pPr>
            <w:r>
              <w:rPr>
                <w:sz w:val="15"/>
                <w:szCs w:val="15"/>
              </w:rPr>
              <w:t xml:space="preserve">(300,000)</w:t>
            </w:r>
          </w:p>
        </w:tc>
        <w:tc>
          <w:tcPr>
            <w:tcW w:type="pct" w:w="865"/>
            <w:shd w:fill="FBFAF6" w:val="clear"/>
            <w:tcMar>
              <w:top w:type="dxa" w:w="50"/>
              <w:left w:type="dxa" w:w="110"/>
              <w:bottom w:type="dxa" w:w="50"/>
              <w:right w:type="dxa" w:w="110"/>
            </w:tcMar>
          </w:tcPr>
          <w:p>
            <w:pPr>
              <w:spacing w:before="28" w:after="28"/>
            </w:pPr>
            <w:r>
              <w:rPr>
                <w:sz w:val="15"/>
                <w:szCs w:val="15"/>
              </w:rPr>
              <w:t xml:space="preserve">(300,000)</w:t>
            </w:r>
          </w:p>
        </w:tc>
        <w:tc>
          <w:tcPr>
            <w:tcW w:type="pct" w:w="870"/>
            <w:shd w:fill="FBFAF6" w:val="clear"/>
            <w:tcMar>
              <w:top w:type="dxa" w:w="50"/>
              <w:left w:type="dxa" w:w="110"/>
              <w:bottom w:type="dxa" w:w="50"/>
              <w:right w:type="dxa" w:w="110"/>
            </w:tcMar>
          </w:tcPr>
          <w:p>
            <w:pPr>
              <w:spacing w:before="28" w:after="28"/>
            </w:pPr>
            <w:r>
              <w:rPr>
                <w:sz w:val="15"/>
                <w:szCs w:val="15"/>
              </w:rPr>
              <w:t xml:space="preserve">(300,000)</w:t>
            </w:r>
          </w:p>
        </w:tc>
        <w:tc>
          <w:tcPr>
            <w:tcW w:type="pct" w:w="822"/>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4"/>
            <w:tcMar>
              <w:top w:type="dxa" w:w="50"/>
              <w:left w:type="dxa" w:w="110"/>
              <w:bottom w:type="dxa" w:w="50"/>
              <w:right w:type="dxa" w:w="110"/>
            </w:tcMar>
          </w:tcPr>
          <w:p>
            <w:pPr>
              <w:spacing w:before="28" w:after="28"/>
            </w:pPr>
            <w:r>
              <w:rPr>
                <w:sz w:val="15"/>
                <w:szCs w:val="15"/>
              </w:rPr>
              <w:t xml:space="preserve">(252,000)</w:t>
            </w:r>
          </w:p>
        </w:tc>
        <w:tc>
          <w:tcPr>
            <w:tcW w:type="pct" w:w="865"/>
            <w:tcMar>
              <w:top w:type="dxa" w:w="50"/>
              <w:left w:type="dxa" w:w="110"/>
              <w:bottom w:type="dxa" w:w="50"/>
              <w:right w:type="dxa" w:w="110"/>
            </w:tcMar>
          </w:tcPr>
          <w:p>
            <w:pPr>
              <w:spacing w:before="28" w:after="28"/>
            </w:pPr>
            <w:r>
              <w:rPr>
                <w:sz w:val="15"/>
                <w:szCs w:val="15"/>
              </w:rPr>
              <w:t xml:space="preserve">(270,000)</w:t>
            </w:r>
          </w:p>
        </w:tc>
        <w:tc>
          <w:tcPr>
            <w:tcW w:type="pct" w:w="870"/>
            <w:tcMar>
              <w:top w:type="dxa" w:w="50"/>
              <w:left w:type="dxa" w:w="110"/>
              <w:bottom w:type="dxa" w:w="50"/>
              <w:right w:type="dxa" w:w="110"/>
            </w:tcMar>
          </w:tcPr>
          <w:p>
            <w:pPr>
              <w:spacing w:before="28" w:after="28"/>
            </w:pPr>
            <w:r>
              <w:rPr>
                <w:sz w:val="15"/>
                <w:szCs w:val="15"/>
              </w:rPr>
              <w:t xml:space="preserve">(288,000)</w:t>
            </w:r>
          </w:p>
        </w:tc>
        <w:tc>
          <w:tcPr>
            <w:tcW w:type="pct" w:w="822"/>
            <w:tcMar>
              <w:top w:type="dxa" w:w="50"/>
              <w:left w:type="dxa" w:w="110"/>
              <w:bottom w:type="dxa" w:w="50"/>
              <w:right w:type="dxa" w:w="110"/>
            </w:tcMar>
          </w:tcPr>
          <w:p>
            <w:pPr>
              <w:spacing w:before="28" w:after="28"/>
            </w:pPr>
            <w:r>
              <w:rPr>
                <w:sz w:val="15"/>
                <w:szCs w:val="15"/>
              </w:rPr>
              <w:t xml:space="preserve">(270,000)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4"/>
            <w:shd w:fill="FBFAF6" w:val="clear"/>
            <w:tcMar>
              <w:top w:type="dxa" w:w="50"/>
              <w:left w:type="dxa" w:w="110"/>
              <w:bottom w:type="dxa" w:w="50"/>
              <w:right w:type="dxa" w:w="110"/>
            </w:tcMar>
          </w:tcPr>
          <w:p>
            <w:pPr>
              <w:spacing w:before="28" w:after="28"/>
            </w:pPr>
            <w:r>
              <w:rPr>
                <w:sz w:val="15"/>
                <w:szCs w:val="15"/>
              </w:rPr>
              <w:t xml:space="preserve">(550,000)</w:t>
            </w:r>
          </w:p>
        </w:tc>
        <w:tc>
          <w:tcPr>
            <w:tcW w:type="pct" w:w="865"/>
            <w:shd w:fill="FBFAF6" w:val="clear"/>
            <w:tcMar>
              <w:top w:type="dxa" w:w="50"/>
              <w:left w:type="dxa" w:w="110"/>
              <w:bottom w:type="dxa" w:w="50"/>
              <w:right w:type="dxa" w:w="110"/>
            </w:tcMar>
          </w:tcPr>
          <w:p>
            <w:pPr>
              <w:spacing w:before="28" w:after="28"/>
            </w:pPr>
            <w:r>
              <w:rPr>
                <w:sz w:val="15"/>
                <w:szCs w:val="15"/>
              </w:rPr>
              <w:t xml:space="preserve">(550,000)</w:t>
            </w:r>
          </w:p>
        </w:tc>
        <w:tc>
          <w:tcPr>
            <w:tcW w:type="pct" w:w="870"/>
            <w:shd w:fill="FBFAF6" w:val="clear"/>
            <w:tcMar>
              <w:top w:type="dxa" w:w="50"/>
              <w:left w:type="dxa" w:w="110"/>
              <w:bottom w:type="dxa" w:w="50"/>
              <w:right w:type="dxa" w:w="110"/>
            </w:tcMar>
          </w:tcPr>
          <w:p>
            <w:pPr>
              <w:spacing w:before="28" w:after="28"/>
            </w:pPr>
            <w:r>
              <w:rPr>
                <w:sz w:val="15"/>
                <w:szCs w:val="15"/>
              </w:rPr>
              <w:t xml:space="preserve">(550,000)</w:t>
            </w:r>
          </w:p>
        </w:tc>
        <w:tc>
          <w:tcPr>
            <w:tcW w:type="pct" w:w="822"/>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4"/>
            <w:tcMar>
              <w:top w:type="dxa" w:w="50"/>
              <w:left w:type="dxa" w:w="110"/>
              <w:bottom w:type="dxa" w:w="50"/>
              <w:right w:type="dxa" w:w="110"/>
            </w:tcMar>
          </w:tcPr>
          <w:p>
            <w:pPr>
              <w:spacing w:before="28" w:after="28"/>
            </w:pPr>
            <w:r>
              <w:rPr>
                <w:sz w:val="15"/>
                <w:szCs w:val="15"/>
              </w:rPr>
              <w:t xml:space="preserve">(1,800,000)</w:t>
            </w:r>
          </w:p>
        </w:tc>
        <w:tc>
          <w:tcPr>
            <w:tcW w:type="pct" w:w="865"/>
            <w:tcMar>
              <w:top w:type="dxa" w:w="50"/>
              <w:left w:type="dxa" w:w="110"/>
              <w:bottom w:type="dxa" w:w="50"/>
              <w:right w:type="dxa" w:w="110"/>
            </w:tcMar>
          </w:tcPr>
          <w:p>
            <w:pPr>
              <w:spacing w:before="28" w:after="28"/>
            </w:pPr>
            <w:r>
              <w:rPr>
                <w:sz w:val="15"/>
                <w:szCs w:val="15"/>
              </w:rPr>
              <w:t xml:space="preserve">(350,000)</w:t>
            </w:r>
          </w:p>
        </w:tc>
        <w:tc>
          <w:tcPr>
            <w:tcW w:type="pct" w:w="870"/>
            <w:tcMar>
              <w:top w:type="dxa" w:w="50"/>
              <w:left w:type="dxa" w:w="110"/>
              <w:bottom w:type="dxa" w:w="50"/>
              <w:right w:type="dxa" w:w="110"/>
            </w:tcMar>
          </w:tcPr>
          <w:p>
            <w:pPr>
              <w:spacing w:before="28" w:after="28"/>
            </w:pPr>
            <w:r>
              <w:rPr>
                <w:sz w:val="15"/>
                <w:szCs w:val="15"/>
              </w:rPr>
              <w:t xml:space="preserve">(350,000)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Total disbursements</w:t>
            </w:r>
          </w:p>
        </w:tc>
        <w:tc>
          <w:tcPr>
            <w:tcW w:type="pct" w:w="874"/>
            <w:shd w:fill="FBFAF6" w:val="clear"/>
            <w:tcMar>
              <w:top w:type="dxa" w:w="50"/>
              <w:left w:type="dxa" w:w="110"/>
              <w:bottom w:type="dxa" w:w="50"/>
              <w:right w:type="dxa" w:w="110"/>
            </w:tcMar>
          </w:tcPr>
          <w:p>
            <w:pPr>
              <w:spacing w:before="28" w:after="28"/>
            </w:pPr>
            <w:r>
              <w:rPr>
                <w:sz w:val="15"/>
                <w:szCs w:val="15"/>
              </w:rPr>
              <w:t xml:space="preserve">5,163,750</w:t>
            </w:r>
          </w:p>
        </w:tc>
        <w:tc>
          <w:tcPr>
            <w:tcW w:type="pct" w:w="865"/>
            <w:shd w:fill="FBFAF6" w:val="clear"/>
            <w:tcMar>
              <w:top w:type="dxa" w:w="50"/>
              <w:left w:type="dxa" w:w="110"/>
              <w:bottom w:type="dxa" w:w="50"/>
              <w:right w:type="dxa" w:w="110"/>
            </w:tcMar>
          </w:tcPr>
          <w:p>
            <w:pPr>
              <w:spacing w:before="28" w:after="28"/>
            </w:pPr>
            <w:r>
              <w:rPr>
                <w:sz w:val="15"/>
                <w:szCs w:val="15"/>
              </w:rPr>
              <w:t xml:space="preserve">3,852,780</w:t>
            </w:r>
          </w:p>
        </w:tc>
        <w:tc>
          <w:tcPr>
            <w:tcW w:type="pct" w:w="870"/>
            <w:shd w:fill="FBFAF6" w:val="clear"/>
            <w:tcMar>
              <w:top w:type="dxa" w:w="50"/>
              <w:left w:type="dxa" w:w="110"/>
              <w:bottom w:type="dxa" w:w="50"/>
              <w:right w:type="dxa" w:w="110"/>
            </w:tcMar>
          </w:tcPr>
          <w:p>
            <w:pPr>
              <w:spacing w:before="28" w:after="28"/>
            </w:pPr>
            <w:r>
              <w:rPr>
                <w:sz w:val="15"/>
                <w:szCs w:val="15"/>
              </w:rPr>
              <w:t xml:space="preserve">3,974,550</w:t>
            </w:r>
          </w:p>
        </w:tc>
        <w:tc>
          <w:tcPr>
            <w:tcW w:type="pct" w:w="822"/>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4"/>
            <w:tcMar>
              <w:top w:type="dxa" w:w="50"/>
              <w:left w:type="dxa" w:w="110"/>
              <w:bottom w:type="dxa" w:w="50"/>
              <w:right w:type="dxa" w:w="110"/>
            </w:tcMar>
          </w:tcPr>
          <w:p>
            <w:pPr>
              <w:spacing w:before="28" w:after="28"/>
            </w:pPr>
            <w:r>
              <w:rPr>
                <w:sz w:val="15"/>
                <w:szCs w:val="15"/>
              </w:rPr>
              <w:t xml:space="preserve">(523,750)</w:t>
            </w:r>
          </w:p>
        </w:tc>
        <w:tc>
          <w:tcPr>
            <w:tcW w:type="pct" w:w="865"/>
            <w:tcMar>
              <w:top w:type="dxa" w:w="50"/>
              <w:left w:type="dxa" w:w="110"/>
              <w:bottom w:type="dxa" w:w="50"/>
              <w:right w:type="dxa" w:w="110"/>
            </w:tcMar>
          </w:tcPr>
          <w:p>
            <w:pPr>
              <w:spacing w:before="28" w:after="28"/>
            </w:pPr>
            <w:r>
              <w:rPr>
                <w:sz w:val="15"/>
                <w:szCs w:val="15"/>
              </w:rPr>
              <w:t xml:space="preserve">923,470</w:t>
            </w:r>
          </w:p>
        </w:tc>
        <w:tc>
          <w:tcPr>
            <w:tcW w:type="pct" w:w="870"/>
            <w:tcMar>
              <w:top w:type="dxa" w:w="50"/>
              <w:left w:type="dxa" w:w="110"/>
              <w:bottom w:type="dxa" w:w="50"/>
              <w:right w:type="dxa" w:w="110"/>
            </w:tcMar>
          </w:tcPr>
          <w:p>
            <w:pPr>
              <w:spacing w:before="28" w:after="28"/>
            </w:pPr>
            <w:r>
              <w:rPr>
                <w:sz w:val="15"/>
                <w:szCs w:val="15"/>
              </w:rPr>
              <w:t xml:space="preserve">1,048,920</w:t>
            </w:r>
          </w:p>
        </w:tc>
        <w:tc>
          <w:tcPr>
            <w:tcW w:type="pct" w:w="822"/>
            <w:tcMar>
              <w:top w:type="dxa" w:w="50"/>
              <w:left w:type="dxa" w:w="110"/>
              <w:bottom w:type="dxa" w:w="50"/>
              <w:right w:type="dxa" w:w="110"/>
            </w:tcMar>
          </w:tcPr>
          <w:p>
            <w:pPr>
              <w:spacing w:before="28" w:after="28"/>
            </w:pPr>
            <w:r>
              <w:rPr>
                <w:sz w:val="15"/>
                <w:szCs w:val="15"/>
              </w:rPr>
              <w:t xml:space="preserve">1,702,450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Borrowing</w:t>
            </w:r>
          </w:p>
        </w:tc>
        <w:tc>
          <w:tcPr>
            <w:tcW w:type="pct" w:w="874"/>
            <w:shd w:fill="FBFAF6" w:val="clear"/>
            <w:tcMar>
              <w:top w:type="dxa" w:w="50"/>
              <w:left w:type="dxa" w:w="110"/>
              <w:bottom w:type="dxa" w:w="50"/>
              <w:right w:type="dxa" w:w="110"/>
            </w:tcMar>
          </w:tcPr>
          <w:p>
            <w:pPr>
              <w:spacing w:before="28" w:after="28"/>
            </w:pPr>
            <w:r>
              <w:rPr>
                <w:sz w:val="15"/>
                <w:szCs w:val="15"/>
              </w:rPr>
              <w:t xml:space="preserve">1,000,000</w:t>
            </w:r>
          </w:p>
        </w:tc>
        <w:tc>
          <w:tcPr>
            <w:tcW w:type="pct" w:w="865"/>
            <w:shd w:fill="FBFAF6" w:val="clear"/>
            <w:tcMar>
              <w:top w:type="dxa" w:w="50"/>
              <w:left w:type="dxa" w:w="110"/>
              <w:bottom w:type="dxa" w:w="50"/>
              <w:right w:type="dxa" w:w="110"/>
            </w:tcMar>
          </w:tcPr>
          <w:p>
            <w:pPr>
              <w:spacing w:before="28" w:after="28"/>
            </w:pPr>
            <w:r>
              <w:rPr>
                <w:sz w:val="15"/>
                <w:szCs w:val="15"/>
              </w:rPr>
              <w:t xml:space="preserve">—</w:t>
            </w:r>
          </w:p>
        </w:tc>
        <w:tc>
          <w:tcPr>
            <w:tcW w:type="pct" w:w="870"/>
            <w:shd w:fill="FBFAF6" w:val="clear"/>
            <w:tcMar>
              <w:top w:type="dxa" w:w="50"/>
              <w:left w:type="dxa" w:w="110"/>
              <w:bottom w:type="dxa" w:w="50"/>
              <w:right w:type="dxa" w:w="110"/>
            </w:tcMar>
          </w:tcPr>
          <w:p>
            <w:pPr>
              <w:spacing w:before="28" w:after="28"/>
            </w:pPr>
            <w:r>
              <w:rPr>
                <w:sz w:val="15"/>
                <w:szCs w:val="15"/>
              </w:rPr>
              <w:t xml:space="preserve">—</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tcMar>
              <w:top w:type="dxa" w:w="50"/>
              <w:left w:type="dxa" w:w="110"/>
              <w:bottom w:type="dxa" w:w="50"/>
              <w:right w:type="dxa" w:w="110"/>
            </w:tcMar>
          </w:tcPr>
          <w:p>
            <w:pPr>
              <w:spacing w:before="28" w:after="28"/>
            </w:pPr>
            <w:r>
              <w:rPr>
                <w:sz w:val="15"/>
                <w:szCs w:val="15"/>
              </w:rPr>
              <w:t xml:space="preserve">− Interest</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865"/>
            <w:tcMar>
              <w:top w:type="dxa" w:w="50"/>
              <w:left w:type="dxa" w:w="110"/>
              <w:bottom w:type="dxa" w:w="50"/>
              <w:right w:type="dxa" w:w="110"/>
            </w:tcMar>
          </w:tcPr>
          <w:p>
            <w:pPr>
              <w:spacing w:before="28" w:after="28"/>
            </w:pPr>
            <w:r>
              <w:rPr>
                <w:sz w:val="15"/>
                <w:szCs w:val="15"/>
              </w:rPr>
              <w:t xml:space="preserve">(20,000)</w:t>
            </w:r>
          </w:p>
        </w:tc>
        <w:tc>
          <w:tcPr>
            <w:tcW w:type="pct" w:w="870"/>
            <w:tcMar>
              <w:top w:type="dxa" w:w="50"/>
              <w:left w:type="dxa" w:w="110"/>
              <w:bottom w:type="dxa" w:w="50"/>
              <w:right w:type="dxa" w:w="110"/>
            </w:tcMar>
          </w:tcPr>
          <w:p>
            <w:pPr>
              <w:spacing w:before="28" w:after="28"/>
            </w:pPr>
            <w:r>
              <w:rPr>
                <w:sz w:val="15"/>
                <w:szCs w:val="15"/>
              </w:rPr>
              <w:t xml:space="preserve">(10,000)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Repayment</w:t>
            </w:r>
          </w:p>
        </w:tc>
        <w:tc>
          <w:tcPr>
            <w:tcW w:type="pct" w:w="874"/>
            <w:shd w:fill="FBFAF6" w:val="clear"/>
            <w:tcMar>
              <w:top w:type="dxa" w:w="50"/>
              <w:left w:type="dxa" w:w="110"/>
              <w:bottom w:type="dxa" w:w="50"/>
              <w:right w:type="dxa" w:w="110"/>
            </w:tcMar>
          </w:tcPr>
          <w:p>
            <w:pPr>
              <w:spacing w:before="28" w:after="28"/>
            </w:pPr>
            <w:r>
              <w:rPr>
                <w:sz w:val="15"/>
                <w:szCs w:val="15"/>
              </w:rPr>
              <w:t xml:space="preserve">—</w:t>
            </w:r>
          </w:p>
        </w:tc>
        <w:tc>
          <w:tcPr>
            <w:tcW w:type="pct" w:w="865"/>
            <w:shd w:fill="FBFAF6" w:val="clear"/>
            <w:tcMar>
              <w:top w:type="dxa" w:w="50"/>
              <w:left w:type="dxa" w:w="110"/>
              <w:bottom w:type="dxa" w:w="50"/>
              <w:right w:type="dxa" w:w="110"/>
            </w:tcMar>
          </w:tcPr>
          <w:p>
            <w:pPr>
              <w:spacing w:before="28" w:after="28"/>
            </w:pPr>
            <w:r>
              <w:rPr>
                <w:sz w:val="15"/>
                <w:szCs w:val="15"/>
              </w:rPr>
              <w:t xml:space="preserve">(500,000)</w:t>
            </w:r>
          </w:p>
        </w:tc>
        <w:tc>
          <w:tcPr>
            <w:tcW w:type="pct" w:w="870"/>
            <w:shd w:fill="FBFAF6" w:val="clear"/>
            <w:tcMar>
              <w:top w:type="dxa" w:w="50"/>
              <w:left w:type="dxa" w:w="110"/>
              <w:bottom w:type="dxa" w:w="50"/>
              <w:right w:type="dxa" w:w="110"/>
            </w:tcMar>
          </w:tcPr>
          <w:p>
            <w:pPr>
              <w:spacing w:before="28" w:after="28"/>
            </w:pPr>
            <w:r>
              <w:rPr>
                <w:sz w:val="15"/>
                <w:szCs w:val="15"/>
              </w:rPr>
              <w:t xml:space="preserve">(500,000)</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4"/>
            <w:tcMar>
              <w:top w:type="dxa" w:w="50"/>
              <w:left w:type="dxa" w:w="110"/>
              <w:bottom w:type="dxa" w:w="50"/>
              <w:right w:type="dxa" w:w="110"/>
            </w:tcMar>
          </w:tcPr>
          <w:p>
            <w:pPr>
              <w:spacing w:before="28" w:after="28"/>
            </w:pPr>
            <w:r>
              <w:rPr>
                <w:sz w:val="15"/>
                <w:szCs w:val="15"/>
              </w:rPr>
              <w:t xml:space="preserve">456,250</w:t>
            </w:r>
          </w:p>
        </w:tc>
        <w:tc>
          <w:tcPr>
            <w:tcW w:type="pct" w:w="865"/>
            <w:tcMar>
              <w:top w:type="dxa" w:w="50"/>
              <w:left w:type="dxa" w:w="110"/>
              <w:bottom w:type="dxa" w:w="50"/>
              <w:right w:type="dxa" w:w="110"/>
            </w:tcMar>
          </w:tcPr>
          <w:p>
            <w:pPr>
              <w:spacing w:before="28" w:after="28"/>
            </w:pPr>
            <w:r>
              <w:rPr>
                <w:sz w:val="15"/>
                <w:szCs w:val="15"/>
              </w:rPr>
              <w:t xml:space="preserve">403,470</w:t>
            </w:r>
          </w:p>
        </w:tc>
        <w:tc>
          <w:tcPr>
            <w:tcW w:type="pct" w:w="870"/>
            <w:tcMar>
              <w:top w:type="dxa" w:w="50"/>
              <w:left w:type="dxa" w:w="110"/>
              <w:bottom w:type="dxa" w:w="50"/>
              <w:right w:type="dxa" w:w="110"/>
            </w:tcMar>
          </w:tcPr>
          <w:p>
            <w:pPr>
              <w:spacing w:before="28" w:after="28"/>
            </w:pPr>
            <w:r>
              <w:rPr>
                <w:sz w:val="15"/>
                <w:szCs w:val="15"/>
              </w:rPr>
              <w:t xml:space="preserve">538,920</w:t>
            </w:r>
          </w:p>
        </w:tc>
        <w:tc>
          <w:tcPr>
            <w:tcW w:type="pct" w:w="822"/>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selling   ·   Cash before financing   ·   Fixed overhead (cash part)   ·   Capital expenditure   ·   = Cash available   ·   Variable overhead   ·   = Ending cash   ·   Fixed selling and admin (cash part)   ·   +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before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 Ending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Cash available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Credit and payables policies change the timing of cash,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faster from customers brings cash in earlier; paying suppliers faster sends it out earlier.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therefore   ·   Collecting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credit policy</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may lose discounts or goodwill. </w:t>
      </w:r>
      <w:r>
        <w:rPr>
          <w:sz w:val="19"/>
          <w:szCs w:val="19"/>
        </w:rPr>
        <w:t xml:space="preserve">The cash budget shows the cash effect;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suppliers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A change in credit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terms changes when cash arrives or leaves, not the sales or expenses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payment   ·   operating   ·   supermarkets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suppliers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budget   ·   Loan at start of quarter   ·   − Repaid   ·   Interest paid (2% a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Financing (USD)   ·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60% of fourth-quarter sales   ·   50% of fourth-quarter purchases   ·   New asset on the balance sheet</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Expect sales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credit terms, a list of expenses including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capital purchase and a minimum cash balance. </w:t>
      </w:r>
      <w:r>
        <w:rPr>
          <w:sz w:val="19"/>
          <w:szCs w:val="19"/>
        </w:rPr>
        <w:t xml:space="preserve">Build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payments, leave out non-cash items, find cash before financing,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opening   ·   depreciation   ·   purchases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first quarter</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Jars, labor and variable overhead per jar produced</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Cash at the start of the second quarter</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New mixer, paid in the second quarter   ·   Minimum cash balance   ·   Fixed selling and admin for the quarter   ·   Year 2028 (USD)   ·   Sesame paid in the quarter of purchase   ·   Jars produced in the second quarter   ·   Sales   ·   Variable selling for the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 paid (2% a quarter)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Repaid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Fixed selling and admin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New mixer, paid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Sales made but not yet collected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006c1f6cba5c66a2887a629d5ebd8420ff8e1b5.png" Type="http://schemas.openxmlformats.org/officeDocument/2006/relationships/image"/><Relationship Id="rId102" Target="media/bcaa4a2d238b2ee5105826556a525fe08dbb94be.png" Type="http://schemas.openxmlformats.org/officeDocument/2006/relationships/image"/><Relationship Id="rId103" Target="media/87c2d5b5f2d5d7e0503fad84a06f09679c83365a.png" Type="http://schemas.openxmlformats.org/officeDocument/2006/relationships/image"/><Relationship Id="rId104" Target="media/5fe4be6a95ca5b3cdbfbb9db275fd049787f9358.png" Type="http://schemas.openxmlformats.org/officeDocument/2006/relationships/image"/><Relationship Id="rId105" Target="media/037fb9b9664d23b37928f5a3b3a207c10ccf7f9e.png" Type="http://schemas.openxmlformats.org/officeDocument/2006/relationships/image"/><Relationship Id="rId106" Target="media/b1e5aabac2e3c2e4d6ea1081dbe6d9e507cd004d.png" Type="http://schemas.openxmlformats.org/officeDocument/2006/relationships/image"/><Relationship Id="rId107" Target="media/b408db4a460b40186735b62cf7f0a660d0382d1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9</dc:title>
  <dc:subject>Summary handouts</dc:subject>
  <cp:category>Student Book</cp:category>
</cp:coreProperties>
</file>