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must also arrive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Feedback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return on sales (operating margin)</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Feedback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   Complete   ·   manager   ·   warehouse   ·   without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is an amount, not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a large division will usually show more of it than a small one. </w:t>
      </w:r>
      <w:r>
        <w:rPr>
          <w:sz w:val="19"/>
          <w:szCs w:val="19"/>
        </w:rPr>
        <w:t xml:space="preserve">Beverages earns $1,740,000 against $120,000 for Tahini &amp; Spreads, but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percentage   ·   performance   ·   usually   ·   Residual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two measures can disagree,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Beverages is offered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project: $2,500,000 of assets earning $450,000 a year, a return of 18.0%.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disagreement   ·   filling-line   ·   residual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BFAF6" w:val="clear"/>
            <w:tcMar>
              <w:top w:type="dxa" w:w="50"/>
              <w:left w:type="dxa" w:w="110"/>
              <w:bottom w:type="dxa" w:w="50"/>
              <w:right w:type="dxa" w:w="110"/>
            </w:tcMar>
          </w:tcPr>
          <w:p>
            <w:pPr>
              <w:spacing w:before="28" w:after="28"/>
            </w:pPr>
            <w:r>
              <w:rPr>
                <w:sz w:val="15"/>
                <w:szCs w:val="15"/>
              </w:rPr>
              <w:t xml:space="preserve">Operating assets</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(ROI)   ·   Capital charge at 12%   ·   Operating income</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percentage,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division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tcMar>
              <w:top w:type="dxa" w:w="50"/>
              <w:left w:type="dxa" w:w="110"/>
              <w:bottom w:type="dxa" w:w="50"/>
              <w:right w:type="dxa" w:w="110"/>
            </w:tcMar>
          </w:tcPr>
          <w:p>
            <w:pPr>
              <w:spacing w:before="28" w:after="28"/>
            </w:pPr>
            <w:r>
              <w:rPr>
                <w:sz w:val="15"/>
                <w:szCs w:val="15"/>
              </w:rPr>
              <w:t xml:space="preserve">Need an agreed investment base and income measure</w:t>
            </w:r>
          </w:p>
        </w:tc>
        <w:tc>
          <w:tcPr>
            <w:tcW w:type="pct" w:w="2200"/>
            <w:tcMar>
              <w:top w:type="dxa" w:w="50"/>
              <w:left w:type="dxa" w:w="110"/>
              <w:bottom w:type="dxa" w:w="50"/>
              <w:right w:type="dxa" w:w="110"/>
            </w:tcMar>
          </w:tcPr>
          <w:p>
            <w:pPr>
              <w:spacing w:before="28" w:after="28"/>
            </w:pPr>
            <w:r>
              <w:rPr>
                <w:sz w:val="15"/>
                <w:szCs w:val="15"/>
              </w:rPr>
              <w:t xml:space="preserve">Both can be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division   ·   suboptimization   ·   improved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project should be judged against the required rate of return, not against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current ROI. </w:t>
      </w:r>
      <w:r>
        <w:rPr>
          <w:sz w:val="19"/>
          <w:szCs w:val="19"/>
        </w:rPr>
        <w:t xml:space="preserve">Any project above the required return raises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offered   ·   division's   ·   residual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suboptimization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 charge at 12%</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required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suboptimization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w:t>
      </w:r>
    </w:p>
    <w:p>
      <w:pPr>
        <w:spacing w:before="20" w:after="20"/>
        <w:ind w:left="240" w:hanging="240"/>
      </w:pPr>
      <w:r>
        <w:rPr>
          <w:b/>
          <w:bCs/>
          <w:color w:val="353A7C"/>
          <w:sz w:val="15"/>
          <w:szCs w:val="15"/>
        </w:rPr>
        <w:t xml:space="preserve">Summary 2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7"/>
        <w:gridCol w:w="4224"/>
        <w:gridCol w:w="31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50"/>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50"/>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revenue earlier reports more income now</w:t>
            </w:r>
          </w:p>
        </w:tc>
        <w:tc>
          <w:tcPr>
            <w:tcW w:type="pct" w:w="1650"/>
            <w:tcMar>
              <w:top w:type="dxa" w:w="50"/>
              <w:left w:type="dxa" w:w="110"/>
              <w:bottom w:type="dxa" w:w="50"/>
              <w:right w:type="dxa" w:w="110"/>
            </w:tcMar>
          </w:tcPr>
          <w:p>
            <w:pPr>
              <w:spacing w:before="28" w:after="28"/>
            </w:pPr>
            <w:r>
              <w:rPr>
                <w:sz w:val="15"/>
                <w:szCs w:val="15"/>
              </w:rPr>
              <w:t xml:space="preserve">Compare only divisions using the same policy</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50"/>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accelerated method changes income and assets</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one group policy for internal reporting   ·   recognising   ·   Adjust before comparing, or agree one policy   ·   accelerated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recognises revenue earlier, or expenses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another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will report different income for identical work.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then measures the policy, not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group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restated to group policy before any division is compared.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statements   ·   capitalises   ·   performance   ·   Comparison   ·   development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1"/>
        <w:gridCol w:w="3768"/>
        <w:gridCol w:w="39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1962"/>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2079"/>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59"/>
            <w:tcMar>
              <w:top w:type="dxa" w:w="50"/>
              <w:left w:type="dxa" w:w="110"/>
              <w:bottom w:type="dxa" w:w="50"/>
              <w:right w:type="dxa" w:w="110"/>
            </w:tcMar>
          </w:tcPr>
          <w:p>
            <w:pPr>
              <w:spacing w:before="28" w:after="28"/>
            </w:pPr>
            <w:r>
              <w:rPr>
                <w:sz w:val="15"/>
                <w:szCs w:val="15"/>
              </w:rPr>
              <w:t xml:space="preserve">Inventory method</w:t>
            </w:r>
          </w:p>
        </w:tc>
        <w:tc>
          <w:tcPr>
            <w:tcW w:type="pct" w:w="1962"/>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207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59"/>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1962"/>
            <w:shd w:fill="FBFAF6" w:val="clear"/>
            <w:tcMar>
              <w:top w:type="dxa" w:w="50"/>
              <w:left w:type="dxa" w:w="110"/>
              <w:bottom w:type="dxa" w:w="50"/>
              <w:right w:type="dxa" w:w="110"/>
            </w:tcMar>
          </w:tcPr>
          <w:p>
            <w:pPr>
              <w:spacing w:before="28" w:after="28"/>
            </w:pPr>
            <w:r>
              <w:rPr>
                <w:sz w:val="15"/>
                <w:szCs w:val="15"/>
              </w:rPr>
              <w:t xml:space="preserve">The shared cold store of Chapter 15 serves two divisions</w:t>
            </w:r>
          </w:p>
        </w:tc>
        <w:tc>
          <w:tcPr>
            <w:tcW w:type="pct" w:w="207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asset on the same basis as its cost, or exclude it from both</w:t>
            </w:r>
          </w:p>
        </w:tc>
      </w:tr>
      <w:tr>
        <w:tc>
          <w:tcPr>
            <w:tcW w:type="pct" w:w="959"/>
            <w:tcMar>
              <w:top w:type="dxa" w:w="50"/>
              <w:left w:type="dxa" w:w="110"/>
              <w:bottom w:type="dxa" w:w="50"/>
              <w:right w:type="dxa" w:w="110"/>
            </w:tcMar>
          </w:tcPr>
          <w:p>
            <w:pPr>
              <w:spacing w:before="28" w:after="28"/>
            </w:pPr>
            <w:r>
              <w:rPr>
                <w:sz w:val="15"/>
                <w:szCs w:val="15"/>
              </w:rPr>
              <w:t xml:space="preserve">Gross or net book value</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79"/>
            <w:tcMar>
              <w:top w:type="dxa" w:w="50"/>
              <w:left w:type="dxa" w:w="110"/>
              <w:bottom w:type="dxa" w:w="50"/>
              <w:right w:type="dxa" w:w="110"/>
            </w:tcMar>
          </w:tcPr>
          <w:p>
            <w:pPr>
              <w:spacing w:before="28" w:after="28"/>
            </w:pPr>
            <w:r>
              <w:rPr>
                <w:sz w:val="15"/>
                <w:szCs w:val="15"/>
              </w:rPr>
              <w:t xml:space="preserve">Net book value flatters divisions with old assets</w:t>
            </w:r>
          </w:p>
        </w:tc>
      </w:tr>
      <w:tr>
        <w:tc>
          <w:tcPr>
            <w:tcW w:type="pct" w:w="959"/>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79"/>
            <w:shd w:fill="FBFAF6" w:val="clear"/>
            <w:tcMar>
              <w:top w:type="dxa" w:w="50"/>
              <w:left w:type="dxa" w:w="110"/>
              <w:bottom w:type="dxa" w:w="50"/>
              <w:right w:type="dxa" w:w="110"/>
            </w:tcMar>
          </w:tcPr>
          <w:p>
            <w:pPr>
              <w:spacing w:before="28" w:after="28"/>
            </w:pPr>
            <w:r>
              <w:rPr>
                <w:sz w:val="15"/>
                <w:szCs w:val="15"/>
              </w:rPr>
              <w:t xml:space="preserve">Follow one rule across all divisions</w:t>
            </w:r>
          </w:p>
        </w:tc>
      </w:tr>
      <w:tr>
        <w:tc>
          <w:tcPr>
            <w:tcW w:type="pct" w:w="959"/>
            <w:tcMar>
              <w:top w:type="dxa" w:w="50"/>
              <w:left w:type="dxa" w:w="110"/>
              <w:bottom w:type="dxa" w:w="50"/>
              <w:right w:type="dxa" w:w="110"/>
            </w:tcMar>
          </w:tcPr>
          <w:p>
            <w:pPr>
              <w:spacing w:before="28" w:after="28"/>
            </w:pPr>
            <w:r>
              <w:rPr>
                <w:sz w:val="15"/>
                <w:szCs w:val="15"/>
              </w:rPr>
              <w:t xml:space="preserve">Idle or non-operating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79"/>
            <w:tcMar>
              <w:top w:type="dxa" w:w="50"/>
              <w:left w:type="dxa" w:w="110"/>
              <w:bottom w:type="dxa" w:w="50"/>
              <w:right w:type="dxa" w:w="110"/>
            </w:tcMar>
          </w:tcPr>
          <w:p>
            <w:pPr>
              <w:spacing w:before="28" w:after="28"/>
            </w:pPr>
            <w:r>
              <w:rPr>
                <w:sz w:val="15"/>
                <w:szCs w:val="15"/>
              </w:rPr>
              <w:t xml:space="preserve">Exclude it from the investment base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leased plant may or may not appear in the base   ·   Land held for sale is not used to earn operating income   ·   FIFO and weighted average give different inventory and cost of sales   ·   Beverages: 26.5% on net book value, 15.9% on gross   ·   Allocate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The last one matters most.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shows 26.5% on net book value but only 15.9% on the gross cost of $20,000,000, because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better than one that has just invested,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exactly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What matters is that every division uses the same one, and that the basis is stated with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discourages   ·   inventory   ·   investment   ·   depreciated   ·   figures   ·   defended   ·   Beverages   ·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two divisions, ask whether both use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the same treatment of shared assets, and the same basis for property. </w:t>
      </w:r>
      <w:r>
        <w:rPr>
          <w:sz w:val="19"/>
          <w:szCs w:val="19"/>
        </w:rPr>
        <w:t xml:space="preserve">A difference in any of them makes the comparison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inventory   ·   comparing   ·   meaningless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recognising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leased plant may or may not appear in the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Land held for sale is not used to earn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Use one group policy for internal 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capitalises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figures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meaningless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Beverages: 26.5% on net book value, 15.9% on gross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the manager rejects the project</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   required return 12%   ·   Tahini &amp; Spreads ROI</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board approved the line, and changed how the Beverages manager is judged: residual income for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decisions, ROI for comparing divisions. </w:t>
      </w:r>
      <w:r>
        <w:rPr>
          <w:sz w:val="19"/>
          <w:szCs w:val="19"/>
        </w:rPr>
        <w:t xml:space="preserve">Both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changed   ·   investment   ·   reported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Beverages ROI 17.7% × 1.50 = 26.5%;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Expect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project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operating income it would earn each year   ·   Division operating assets   ·   $840,000 ÷ $6,000,000 = 14.0%   ·   Investment in the new 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Residual income   ·   Supports rejecting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 in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e7e8f8eb6f21d8c05cb6ae62f10f881515f38f9.png" Type="http://schemas.openxmlformats.org/officeDocument/2006/relationships/image"/><Relationship Id="rId102" Target="media/a396fae18689e37f6059c13921a4161c51c8d8cf.png" Type="http://schemas.openxmlformats.org/officeDocument/2006/relationships/image"/><Relationship Id="rId103" Target="media/c21bdffb1e32cd85b0e0873cf617a7c6bcf08a1a.png" Type="http://schemas.openxmlformats.org/officeDocument/2006/relationships/image"/><Relationship Id="rId104" Target="media/b1b127b6faa9443bd87ccf8cfba865fa8e1c683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17</dc:title>
  <dc:subject>Summary handouts</dc:subject>
  <cp:category>Student Book</cp:category>
</cp:coreProperties>
</file>