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equation always holds, because creditors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buying   ·   Contributed   ·   dividend   ·   Comprehensive   ·   statement   ·   sources   ·   IFRS   ·   instead   ·   Expenses   ·   Revenues   ·   liabilities   ·   Distributions</w:t>
            </w:r>
          </w:p>
        </w:tc>
      </w:tr>
    </w:tbl>
    <w:p/>
    <w:p>
      <w:pPr>
        <w:spacing w:before="44" w:after="14"/>
      </w:pPr>
      <w:r>
        <w:rPr>
          <w:b/>
          <w:bCs/>
          <w:color w:val="353A7C"/>
          <w:sz w:val="18"/>
          <w:szCs w:val="18"/>
        </w:rPr>
        <w:t xml:space="preserve">Summary 3</w:t>
      </w:r>
      <w:r>
        <w:rPr>
          <w:color w:val="6B7280"/>
          <w:sz w:val="16"/>
          <w:szCs w:val="16"/>
        </w:rPr>
        <w:t xml:space="preserve">      gaps 25–29</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financial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(balance sheet), share capital (common stock) and share premium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additional   ·   incidental   ·   different   ·   statement   ·   position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sources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expenses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expanded   ·   receivable   ·   Whether   ·   dividends   ·   equity   ·   depreciation   ·   opposite   ·   double-entry   ·   affects   ·   simply   ·   accounting   ·   issuing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affects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tcMar>
              <w:top w:type="dxa" w:w="50"/>
              <w:left w:type="dxa" w:w="110"/>
              <w:bottom w:type="dxa" w:w="50"/>
              <w:right w:type="dxa" w:w="110"/>
            </w:tcMar>
          </w:tcPr>
          <w:p>
            <w:pPr>
              <w:spacing w:before="28" w:after="28"/>
            </w:pPr>
            <w:r>
              <w:rPr>
                <w:sz w:val="15"/>
                <w:szCs w:val="15"/>
              </w:rPr>
              <w:t xml:space="preserve">Jan 2</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BFAF6" w:val="clear"/>
            <w:tcMar>
              <w:top w:type="dxa" w:w="50"/>
              <w:left w:type="dxa" w:w="110"/>
              <w:bottom w:type="dxa" w:w="50"/>
              <w:right w:type="dxa" w:w="110"/>
            </w:tcMar>
          </w:tcPr>
          <w:p>
            <w:pPr>
              <w:spacing w:before="28" w:after="28"/>
            </w:pPr>
            <w:r>
              <w:rPr>
                <w:sz w:val="15"/>
                <w:szCs w:val="15"/>
              </w:rPr>
              <w:t xml:space="preserve">Jan 10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27–35</w:t>
      </w:r>
    </w:p>
    <w:p>
      <w:pPr>
        <w:spacing w:before="20" w:after="20" w:line="360" w:lineRule="auto"/>
        <w:ind w:left="200"/>
      </w:pPr>
      <w:r>
        <w:rPr>
          <w:sz w:val="19"/>
          <w:szCs w:val="19"/>
        </w:rPr>
        <w:t xml:space="preserve">Check each entry: the debits equal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owners   ·   February   ·   delivers   ·   points   ·   liability   ·   equation   ·   credits   ·   receivable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36–39</w:t>
      </w:r>
    </w:p>
    <w:p>
      <w:pPr>
        <w:spacing w:before="20" w:after="20" w:line="360" w:lineRule="auto"/>
        <w:ind w:left="200"/>
      </w:pPr>
      <w:r>
        <w:rPr>
          <w:sz w:val="19"/>
          <w:szCs w:val="19"/>
        </w:rPr>
        <w:t xml:space="preserve">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account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40–41</w:t>
      </w:r>
    </w:p>
    <w:p>
      <w:pPr>
        <w:spacing w:before="20" w:after="20" w:line="360" w:lineRule="auto"/>
        <w:ind w:left="200"/>
      </w:pPr>
      <w:r>
        <w:rPr>
          <w:sz w:val="19"/>
          <w:szCs w:val="19"/>
        </w:rPr>
        <w:t xml:space="preserve">Here are six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Rows 1 to 3 are done for you. </w:t>
      </w:r>
      <w:r>
        <w:rPr>
          <w:sz w:val="19"/>
          <w:szCs w:val="19"/>
        </w:rPr>
        <w:t xml:space="preserve"/>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42–43</w:t>
      </w:r>
    </w:p>
    <w:p>
      <w:pPr>
        <w:spacing w:before="20" w:after="20" w:line="360" w:lineRule="auto"/>
        <w:ind w:left="200"/>
      </w:pPr>
      <w:r>
        <w:rPr>
          <w:sz w:val="19"/>
          <w:szCs w:val="19"/>
        </w:rPr>
        <w:t xml:space="preserve">X is debited (or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Whether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called 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generally   ·   recognizes   ·   changes   ·   oversees   ·   nongovernmental   ·   report   ·   principles   ·   Securities   ·   writes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tcMar>
              <w:top w:type="dxa" w:w="50"/>
              <w:left w:type="dxa" w:w="110"/>
              <w:bottom w:type="dxa" w:w="50"/>
              <w:right w:type="dxa" w:w="110"/>
            </w:tcMar>
          </w:tcPr>
          <w:p>
            <w:pPr>
              <w:spacing w:before="28" w:after="28"/>
            </w:pPr>
            <w:r>
              <w:rPr>
                <w:sz w:val="15"/>
                <w:szCs w:val="15"/>
              </w:rPr>
              <w:t xml:space="preserve">Other noncurrent assets</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tcMar>
              <w:top w:type="dxa" w:w="50"/>
              <w:left w:type="dxa" w:w="110"/>
              <w:bottom w:type="dxa" w:w="50"/>
              <w:right w:type="dxa" w:w="110"/>
            </w:tcMar>
          </w:tcPr>
          <w:p>
            <w:pPr>
              <w:spacing w:before="28" w:after="28"/>
            </w:pPr>
            <w:r>
              <w:rPr>
                <w:sz w:val="15"/>
                <w:szCs w:val="15"/>
              </w:rPr>
              <w:t xml:space="preserve">Income taxes payable</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tcMar>
              <w:top w:type="dxa" w:w="50"/>
              <w:left w:type="dxa" w:w="110"/>
              <w:bottom w:type="dxa" w:w="50"/>
              <w:right w:type="dxa" w:w="110"/>
            </w:tcMar>
          </w:tcPr>
          <w:p>
            <w:pPr>
              <w:spacing w:before="28" w:after="28"/>
            </w:pPr>
            <w:r>
              <w:rPr>
                <w:sz w:val="15"/>
                <w:szCs w:val="15"/>
              </w:rPr>
              <w:t xml:space="preserve">Retained earnings</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23–28</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intangible   ·   depreciation   ·   Liabilities   ·   Current   ·   investments   ·   contingencies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Short-term   ·   refinance   ·   current   ·   through   ·   waiver   ·   issuing   ·   balance   ·   intends   ·   settlement   ·   qualifying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2"/>
        <w:gridCol w:w="2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8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1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87"/>
            <w:tcMar>
              <w:top w:type="dxa" w:w="50"/>
              <w:left w:type="dxa" w:w="110"/>
              <w:bottom w:type="dxa" w:w="50"/>
              <w:right w:type="dxa" w:w="110"/>
            </w:tcMar>
          </w:tcPr>
          <w:p>
            <w:pPr>
              <w:spacing w:before="28" w:after="28"/>
            </w:pPr>
            <w:r>
              <w:rPr>
                <w:sz w:val="15"/>
                <w:szCs w:val="15"/>
              </w:rPr>
              <w:t xml:space="preserve">Noncurrent (intent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ability)</w:t>
            </w:r>
          </w:p>
        </w:tc>
        <w:tc>
          <w:tcPr>
            <w:tcW w:type="pct" w:w="151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1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87"/>
            <w:tcMar>
              <w:top w:type="dxa" w:w="50"/>
              <w:left w:type="dxa" w:w="110"/>
              <w:bottom w:type="dxa" w:w="50"/>
              <w:right w:type="dxa" w:w="110"/>
            </w:tcMar>
          </w:tcPr>
          <w:p>
            <w:pPr>
              <w:spacing w:before="28" w:after="28"/>
            </w:pPr>
            <w:r>
              <w:rPr>
                <w:sz w:val="15"/>
                <w:szCs w:val="15"/>
              </w:rPr>
              <w:t xml:space="preserve">Noncurrent</w:t>
            </w:r>
          </w:p>
        </w:tc>
        <w:tc>
          <w:tcPr>
            <w:tcW w:type="pct" w:w="151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1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8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13"/>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8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13"/>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demonstrated   ·   All non-current   ·   working capital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demonstrated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net change in cash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cash flows explains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missing   ·   Orontes's   ·   balance-sheet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whether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Net sales</w:t>
            </w:r>
          </w:p>
        </w:tc>
        <w:tc>
          <w:tcPr>
            <w:tcW w:type="pct" w:w="2400"/>
            <w:tcMar>
              <w:top w:type="dxa" w:w="50"/>
              <w:left w:type="dxa" w:w="110"/>
              <w:bottom w:type="dxa" w:w="50"/>
              <w:right w:type="dxa" w:w="110"/>
            </w:tcMar>
          </w:tcPr>
          <w:p>
            <w:pPr>
              <w:spacing w:before="28" w:after="28"/>
            </w:pPr>
            <w:r>
              <w:rPr>
                <w:sz w:val="15"/>
                <w:szCs w:val="15"/>
              </w:rPr>
              <w:t xml:space="preserve">42,000,000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14,700,000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Selling, general and administrative</w:t>
            </w:r>
          </w:p>
        </w:tc>
        <w:tc>
          <w:tcPr>
            <w:tcW w:type="pct" w:w="2400"/>
            <w:tcMar>
              <w:top w:type="dxa" w:w="50"/>
              <w:left w:type="dxa" w:w="110"/>
              <w:bottom w:type="dxa" w:w="50"/>
              <w:right w:type="dxa" w:w="110"/>
            </w:tcMar>
          </w:tcPr>
          <w:p>
            <w:pPr>
              <w:spacing w:before="28" w:after="28"/>
            </w:pPr>
            <w:r>
              <w:rPr>
                <w:sz w:val="15"/>
                <w:szCs w:val="15"/>
              </w:rPr>
              <w:t xml:space="preserve">(7,237,000)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400"/>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(10,524,000)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00"/>
            <w:tcMar>
              <w:top w:type="dxa" w:w="50"/>
              <w:left w:type="dxa" w:w="110"/>
              <w:bottom w:type="dxa" w:w="50"/>
              <w:right w:type="dxa" w:w="110"/>
            </w:tcMar>
          </w:tcPr>
          <w:p>
            <w:pPr>
              <w:spacing w:before="28" w:after="28"/>
            </w:pPr>
            <w:r>
              <w:rPr>
                <w:sz w:val="15"/>
                <w:szCs w:val="15"/>
              </w:rPr>
              <w:t xml:space="preserve">Other income and (expense)</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Interest and dividend income</w:t>
            </w:r>
          </w:p>
        </w:tc>
        <w:tc>
          <w:tcPr>
            <w:tcW w:type="pct" w:w="2400"/>
            <w:tcMar>
              <w:top w:type="dxa" w:w="50"/>
              <w:left w:type="dxa" w:w="110"/>
              <w:bottom w:type="dxa" w:w="50"/>
              <w:right w:type="dxa" w:w="110"/>
            </w:tcMar>
          </w:tcPr>
          <w:p>
            <w:pPr>
              <w:spacing w:before="28" w:after="28"/>
            </w:pPr>
            <w:r>
              <w:rPr>
                <w:sz w:val="15"/>
                <w:szCs w:val="15"/>
              </w:rPr>
              <w:t xml:space="preserve">3,800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177,000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2,969,100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400"/>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00"/>
            <w:tcMar>
              <w:top w:type="dxa" w:w="50"/>
              <w:left w:type="dxa" w:w="110"/>
              <w:bottom w:type="dxa" w:w="50"/>
              <w:right w:type="dxa" w:w="110"/>
            </w:tcMar>
          </w:tcPr>
          <w:p>
            <w:pPr>
              <w:spacing w:before="28" w:after="28"/>
            </w:pPr>
            <w:r>
              <w:rPr>
                <w:sz w:val="15"/>
                <w:szCs w:val="15"/>
              </w:rPr>
              <w:t xml:space="preserve">Weighted-average shares outstanding</w:t>
            </w:r>
          </w:p>
        </w:tc>
        <w:tc>
          <w:tcPr>
            <w:tcW w:type="pct" w:w="2400"/>
            <w:tcMar>
              <w:top w:type="dxa" w:w="50"/>
              <w:left w:type="dxa" w:w="110"/>
              <w:bottom w:type="dxa" w:w="50"/>
              <w:right w:type="dxa" w:w="110"/>
            </w:tcMar>
          </w:tcPr>
          <w:p>
            <w:pPr>
              <w:spacing w:before="28" w:after="28"/>
            </w:pPr>
            <w:r>
              <w:rPr>
                <w:sz w:val="15"/>
                <w:szCs w:val="15"/>
              </w:rPr>
              <w:t xml:space="preserve">8,099,726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400"/>
            <w:tcMar>
              <w:top w:type="dxa" w:w="50"/>
              <w:left w:type="dxa" w:w="110"/>
              <w:bottom w:type="dxa" w:w="50"/>
              <w:right w:type="dxa" w:w="110"/>
            </w:tcMar>
          </w:tcPr>
          <w:p>
            <w:pPr>
              <w:spacing w:before="28" w:after="28"/>
            </w:pPr>
            <w:r>
              <w:rPr>
                <w:sz w:val="15"/>
                <w:szCs w:val="15"/>
              </w:rPr>
              <w:t xml:space="preserve">(1,125)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Gross profit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general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credit losses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follows   ·   administrative   ·   reported   ·   transaction   ·   deducted   ·   impairments   ·   selling   ·   peripheral   ·   incidental   ·   carrying   ·   development</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Gross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research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Interest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Orontes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3,100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(300)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Interest expense</w:t>
            </w:r>
          </w:p>
        </w:tc>
        <w:tc>
          <w:tcPr>
            <w:tcW w:type="pct" w:w="2400"/>
            <w:tcMar>
              <w:top w:type="dxa" w:w="50"/>
              <w:left w:type="dxa" w:w="110"/>
              <w:bottom w:type="dxa" w:w="50"/>
              <w:right w:type="dxa" w:w="110"/>
            </w:tcMar>
          </w:tcPr>
          <w:p>
            <w:pPr>
              <w:spacing w:before="28" w:after="28"/>
            </w:pPr>
            <w:r>
              <w:rPr>
                <w:sz w:val="15"/>
                <w:szCs w:val="15"/>
              </w:rPr>
              <w:t xml:space="preserve">(90)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Gross profit as a percentage of sales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profit   ·   Wages expense   ·   Sales revenue   ·   Net income   ·   Depreciation expense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impairments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disposal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Accrual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Net sales</w:t>
            </w:r>
          </w:p>
        </w:tc>
        <w:tc>
          <w:tcPr>
            <w:tcW w:type="pct" w:w="2600"/>
            <w:tcMar>
              <w:top w:type="dxa" w:w="50"/>
              <w:left w:type="dxa" w:w="110"/>
              <w:bottom w:type="dxa" w:w="50"/>
              <w:right w:type="dxa" w:w="110"/>
            </w:tcMar>
          </w:tcPr>
          <w:p>
            <w:pPr>
              <w:spacing w:before="28" w:after="28"/>
            </w:pPr>
            <w:r>
              <w:rPr>
                <w:sz w:val="15"/>
                <w:szCs w:val="15"/>
              </w:rPr>
              <w:t xml:space="preserve">3,400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400"/>
            <w:tcMar>
              <w:top w:type="dxa" w:w="50"/>
              <w:left w:type="dxa" w:w="110"/>
              <w:bottom w:type="dxa" w:w="50"/>
              <w:right w:type="dxa" w:w="110"/>
            </w:tcMar>
          </w:tcPr>
          <w:p>
            <w:pPr>
              <w:spacing w:before="28" w:after="28"/>
            </w:pPr>
            <w:r>
              <w:rPr>
                <w:sz w:val="15"/>
                <w:szCs w:val="15"/>
              </w:rPr>
              <w:t xml:space="preserve">Wages expense</w:t>
            </w:r>
          </w:p>
        </w:tc>
        <w:tc>
          <w:tcPr>
            <w:tcW w:type="pct" w:w="2600"/>
            <w:tcMar>
              <w:top w:type="dxa" w:w="50"/>
              <w:left w:type="dxa" w:w="110"/>
              <w:bottom w:type="dxa" w:w="50"/>
              <w:right w:type="dxa" w:w="110"/>
            </w:tcMar>
          </w:tcPr>
          <w:p>
            <w:pPr>
              <w:spacing w:before="28" w:after="28"/>
            </w:pPr>
            <w:r>
              <w:rPr>
                <w:sz w:val="15"/>
                <w:szCs w:val="15"/>
              </w:rPr>
              <w:t xml:space="preserve">560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400"/>
            <w:tcMar>
              <w:top w:type="dxa" w:w="50"/>
              <w:left w:type="dxa" w:w="110"/>
              <w:bottom w:type="dxa" w:w="50"/>
              <w:right w:type="dxa" w:w="110"/>
            </w:tcMar>
          </w:tcPr>
          <w:p>
            <w:pPr>
              <w:spacing w:before="28" w:after="28"/>
            </w:pPr>
            <w:r>
              <w:rPr>
                <w:sz w:val="15"/>
                <w:szCs w:val="15"/>
              </w:rPr>
              <w:t xml:space="preserve">Fire loss (uninsured inventory)</w:t>
            </w:r>
          </w:p>
        </w:tc>
        <w:tc>
          <w:tcPr>
            <w:tcW w:type="pct" w:w="2600"/>
            <w:tcMar>
              <w:top w:type="dxa" w:w="50"/>
              <w:left w:type="dxa" w:w="110"/>
              <w:bottom w:type="dxa" w:w="50"/>
              <w:right w:type="dxa" w:w="110"/>
            </w:tcMar>
          </w:tcPr>
          <w:p>
            <w:pPr>
              <w:spacing w:before="28" w:after="28"/>
            </w:pPr>
            <w:r>
              <w:rPr>
                <w:sz w:val="15"/>
                <w:szCs w:val="15"/>
              </w:rPr>
              <w:t xml:space="preserve">70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400"/>
            <w:tcMar>
              <w:top w:type="dxa" w:w="50"/>
              <w:left w:type="dxa" w:w="110"/>
              <w:bottom w:type="dxa" w:w="50"/>
              <w:right w:type="dxa" w:w="110"/>
            </w:tcMar>
          </w:tcPr>
          <w:p>
            <w:pPr>
              <w:spacing w:before="28" w:after="28"/>
            </w:pPr>
            <w:r>
              <w:rPr>
                <w:sz w:val="15"/>
                <w:szCs w:val="15"/>
              </w:rPr>
              <w:t xml:space="preserve">Interest expense</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00"/>
            <w:shd w:fill="FBFAF6" w:val="clear"/>
            <w:tcMar>
              <w:top w:type="dxa" w:w="50"/>
              <w:left w:type="dxa" w:w="110"/>
              <w:bottom w:type="dxa" w:w="50"/>
              <w:right w:type="dxa" w:w="110"/>
            </w:tcMar>
          </w:tcPr>
          <w:p>
            <w:pPr>
              <w:spacing w:before="28" w:after="28"/>
            </w:pPr>
            <w:r>
              <w:rPr>
                <w:sz w:val="15"/>
                <w:szCs w:val="15"/>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dividends   ·   statement   ·   Treasury   ·   retained   ·   separates</w:t>
            </w:r>
          </w:p>
        </w:tc>
      </w:tr>
    </w:tbl>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Other comprehensive income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Each column is one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creates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contributed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recorded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paid to buy back the company's own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taxes, which used no cash: $4,924,000. </w:t>
      </w:r>
      <w:r>
        <w:rPr>
          <w:sz w:val="19"/>
          <w:szCs w:val="19"/>
        </w:rPr>
        <w:t xml:space="preserve">Subtract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equals net cash from operating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depreciation   ·   deferred   ·   activities   ·   equity-method   ·   Working-capital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statement of cash flows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Finally   ·   classifications   ·   mislead   ·   Important   ·   delaying   ·   manage   ·   impossible   ·   interest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August 2026 the FASB proposed new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55"/>
        <w:gridCol w:w="18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51"/>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51"/>
            <w:shd w:fill="FBFAF6" w:val="clear"/>
            <w:tcMar>
              <w:top w:type="dxa" w:w="50"/>
              <w:left w:type="dxa" w:w="110"/>
              <w:bottom w:type="dxa" w:w="50"/>
              <w:right w:type="dxa" w:w="110"/>
            </w:tcMar>
          </w:tcPr>
          <w:p>
            <w:pPr>
              <w:spacing w:before="28" w:after="28"/>
            </w:pPr>
            <w:r>
              <w:rPr>
                <w:sz w:val="15"/>
                <w:szCs w:val="15"/>
              </w:rPr>
              <w:t xml:space="preserve">165</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20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51"/>
            <w:tcMar>
              <w:top w:type="dxa" w:w="50"/>
              <w:left w:type="dxa" w:w="110"/>
              <w:bottom w:type="dxa" w:w="50"/>
              <w:right w:type="dxa" w:w="110"/>
            </w:tcMar>
          </w:tcPr>
          <w:p>
            <w:pPr>
              <w:spacing w:before="28" w:after="28"/>
            </w:pPr>
            <w:r>
              <w:rPr>
                <w:sz w:val="15"/>
                <w:szCs w:val="15"/>
              </w:rPr>
              <w:t xml:space="preserve">40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51"/>
            <w:shd w:fill="FBFAF6" w:val="clear"/>
            <w:tcMar>
              <w:top w:type="dxa" w:w="50"/>
              <w:left w:type="dxa" w:w="110"/>
              <w:bottom w:type="dxa" w:w="50"/>
              <w:right w:type="dxa" w:w="110"/>
            </w:tcMar>
          </w:tcPr>
          <w:p>
            <w:pPr>
              <w:spacing w:before="28" w:after="28"/>
            </w:pPr>
            <w:r>
              <w:rPr>
                <w:sz w:val="15"/>
                <w:szCs w:val="15"/>
              </w:rPr>
              <w:t xml:space="preserve"> </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851"/>
            <w:tcMar>
              <w:top w:type="dxa" w:w="50"/>
              <w:left w:type="dxa" w:w="110"/>
              <w:bottom w:type="dxa" w:w="50"/>
              <w:right w:type="dxa" w:w="110"/>
            </w:tcMar>
          </w:tcPr>
          <w:p>
            <w:pPr>
              <w:spacing w:before="28" w:after="28"/>
            </w:pPr>
            <w:r>
              <w:rPr>
                <w:sz w:val="15"/>
                <w:szCs w:val="15"/>
              </w:rPr>
              <w:t xml:space="preserve">280</w:t>
            </w:r>
          </w:p>
        </w:tc>
        <w:tc>
          <w:tcPr>
            <w:tcW w:type="pct" w:w="949"/>
            <w:tcMar>
              <w:top w:type="dxa" w:w="50"/>
              <w:left w:type="dxa" w:w="110"/>
              <w:bottom w:type="dxa" w:w="50"/>
              <w:right w:type="dxa" w:w="110"/>
            </w:tcMar>
          </w:tcPr>
          <w:p>
            <w:pPr>
              <w:spacing w:before="28" w:after="28"/>
            </w:pPr>
            <w:r>
              <w:rPr>
                <w:sz w:val="15"/>
                <w:szCs w:val="15"/>
              </w:rPr>
              <w:t xml:space="preserve">310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851"/>
            <w:shd w:fill="FBFAF6" w:val="clear"/>
            <w:tcMar>
              <w:top w:type="dxa" w:w="50"/>
              <w:left w:type="dxa" w:w="110"/>
              <w:bottom w:type="dxa" w:w="50"/>
              <w:right w:type="dxa" w:w="110"/>
            </w:tcMar>
          </w:tcPr>
          <w:p>
            <w:pPr>
              <w:spacing w:before="28" w:after="28"/>
            </w:pPr>
            <w:r>
              <w:rPr>
                <w:sz w:val="15"/>
                <w:szCs w:val="15"/>
              </w:rPr>
              <w:t xml:space="preserve">420</w:t>
            </w:r>
          </w:p>
        </w:tc>
        <w:tc>
          <w:tcPr>
            <w:tcW w:type="pct" w:w="94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51"/>
            <w:tcMar>
              <w:top w:type="dxa" w:w="50"/>
              <w:left w:type="dxa" w:w="110"/>
              <w:bottom w:type="dxa" w:w="50"/>
              <w:right w:type="dxa" w:w="110"/>
            </w:tcMar>
          </w:tcPr>
          <w:p>
            <w:pPr>
              <w:spacing w:before="28" w:after="28"/>
            </w:pPr>
            <w:r>
              <w:rPr>
                <w:sz w:val="15"/>
                <w:szCs w:val="15"/>
              </w:rPr>
              <w:t xml:space="preserve">24</w:t>
            </w:r>
          </w:p>
        </w:tc>
        <w:tc>
          <w:tcPr>
            <w:tcW w:type="pct" w:w="949"/>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51"/>
            <w:shd w:fill="FBFAF6" w:val="clear"/>
            <w:tcMar>
              <w:top w:type="dxa" w:w="50"/>
              <w:left w:type="dxa" w:w="110"/>
              <w:bottom w:type="dxa" w:w="50"/>
              <w:right w:type="dxa" w:w="110"/>
            </w:tcMar>
          </w:tcPr>
          <w:p>
            <w:pPr>
              <w:spacing w:before="28" w:after="28"/>
            </w:pPr>
            <w:r>
              <w:rPr>
                <w:sz w:val="15"/>
                <w:szCs w:val="15"/>
              </w:rPr>
              <w:t xml:space="preserve">380</w:t>
            </w:r>
          </w:p>
        </w:tc>
        <w:tc>
          <w:tcPr>
            <w:tcW w:type="pct" w:w="94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51"/>
            <w:tcMar>
              <w:top w:type="dxa" w:w="50"/>
              <w:left w:type="dxa" w:w="110"/>
              <w:bottom w:type="dxa" w:w="50"/>
              <w:right w:type="dxa" w:w="110"/>
            </w:tcMar>
          </w:tcPr>
          <w:p>
            <w:pPr>
              <w:spacing w:before="28" w:after="28"/>
            </w:pPr>
            <w:r>
              <w:rPr>
                <w:sz w:val="15"/>
                <w:szCs w:val="15"/>
              </w:rPr>
              <w:t xml:space="preserve">0</w:t>
            </w:r>
          </w:p>
        </w:tc>
        <w:tc>
          <w:tcPr>
            <w:tcW w:type="pct" w:w="949"/>
            <w:tcMar>
              <w:top w:type="dxa" w:w="50"/>
              <w:left w:type="dxa" w:w="110"/>
              <w:bottom w:type="dxa" w:w="50"/>
              <w:right w:type="dxa" w:w="110"/>
            </w:tcMar>
          </w:tcPr>
          <w:p>
            <w:pPr>
              <w:spacing w:before="28" w:after="28"/>
            </w:pPr>
            <w:r>
              <w:rPr>
                <w:sz w:val="15"/>
                <w:szCs w:val="15"/>
              </w:rPr>
              <w:t xml:space="preserve">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51"/>
            <w:shd w:fill="FBFAF6" w:val="clear"/>
            <w:tcMar>
              <w:top w:type="dxa" w:w="50"/>
              <w:left w:type="dxa" w:w="110"/>
              <w:bottom w:type="dxa" w:w="50"/>
              <w:right w:type="dxa" w:w="110"/>
            </w:tcMar>
          </w:tcPr>
          <w:p>
            <w:pPr>
              <w:spacing w:before="28" w:after="28"/>
            </w:pPr>
            <w:r>
              <w:rPr>
                <w:sz w:val="15"/>
                <w:szCs w:val="15"/>
              </w:rPr>
              <w:t xml:space="preserve">1,050</w:t>
            </w:r>
          </w:p>
        </w:tc>
        <w:tc>
          <w:tcPr>
            <w:tcW w:type="pct" w:w="94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Other 2026 cash information</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70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51"/>
            <w:tcMar>
              <w:top w:type="dxa" w:w="50"/>
              <w:left w:type="dxa" w:w="110"/>
              <w:bottom w:type="dxa" w:w="50"/>
              <w:right w:type="dxa" w:w="110"/>
            </w:tcMar>
          </w:tcPr>
          <w:p>
            <w:pPr>
              <w:spacing w:before="28" w:after="28"/>
            </w:pPr>
            <w:r>
              <w:rPr>
                <w:sz w:val="15"/>
                <w:szCs w:val="15"/>
              </w:rPr>
              <w:t xml:space="preserve">150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Note installment repaid (Chapter 2, M1)</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51"/>
            <w:shd w:fill="FBFAF6" w:val="clear"/>
            <w:tcMar>
              <w:top w:type="dxa" w:w="50"/>
              <w:left w:type="dxa" w:w="110"/>
              <w:bottom w:type="dxa" w:w="50"/>
              <w:right w:type="dxa" w:w="110"/>
            </w:tcMar>
          </w:tcPr>
          <w:p>
            <w:pPr>
              <w:spacing w:before="28" w:after="28"/>
            </w:pPr>
            <w:r>
              <w:rPr>
                <w:sz w:val="15"/>
                <w:szCs w:val="15"/>
              </w:rPr>
              <w:t xml:space="preserve">50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Treasury stock bought (Chapter 4, E1)</w:t>
            </w:r>
          </w:p>
        </w:tc>
        <w:tc>
          <w:tcPr>
            <w:tcW w:type="pct" w:w="1851"/>
            <w:tcMar>
              <w:top w:type="dxa" w:w="50"/>
              <w:left w:type="dxa" w:w="110"/>
              <w:bottom w:type="dxa" w:w="50"/>
              <w:right w:type="dxa" w:w="110"/>
            </w:tcMar>
          </w:tcPr>
          <w:p>
            <w:pPr>
              <w:spacing w:before="28" w:after="28"/>
            </w:pPr>
            <w:r>
              <w:rPr>
                <w:sz w:val="15"/>
                <w:szCs w:val="15"/>
              </w:rPr>
              <w:t xml:space="preserve">480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51"/>
            <w:tcMar>
              <w:top w:type="dxa" w:w="50"/>
              <w:left w:type="dxa" w:w="110"/>
              <w:bottom w:type="dxa" w:w="50"/>
              <w:right w:type="dxa" w:w="110"/>
            </w:tcMar>
          </w:tcPr>
          <w:p>
            <w:pPr>
              <w:spacing w:before="28" w:after="28"/>
            </w:pPr>
            <w:r>
              <w:rPr>
                <w:sz w:val="15"/>
                <w:szCs w:val="15"/>
              </w:rPr>
              <w:t xml:space="preserve">121</w:t>
            </w:r>
          </w:p>
        </w:tc>
        <w:tc>
          <w:tcPr>
            <w:tcW w:type="pct" w:w="94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w:t>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investing and financing activity   ·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definition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expected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holdback (due from factor)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probable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4"/>
      </w:pPr>
      <w:r>
        <w:rPr>
          <w:b/>
          <w:bCs/>
          <w:color w:val="353A7C"/>
          <w:sz w:val="18"/>
          <w:szCs w:val="18"/>
        </w:rPr>
        <w:t xml:space="preserve">Summary 3</w:t>
      </w:r>
      <w:r>
        <w:rPr>
          <w:color w:val="6B7280"/>
          <w:sz w:val="16"/>
          <w:szCs w:val="16"/>
        </w:rPr>
        <w:t xml:space="preserve">      gaps 27–28</w:t>
      </w:r>
    </w:p>
    <w:p>
      <w:pPr>
        <w:spacing w:before="20" w:after="20" w:line="360" w:lineRule="auto"/>
        <w:ind w:left="200"/>
      </w:pPr>
      <w:r>
        <w:rPr>
          <w:sz w:val="19"/>
          <w:szCs w:val="19"/>
        </w:rPr>
        <w:t xml:space="preserve">The first row is done.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other rows and the total, then check your total against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trial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Complete   ·   financial</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allowance for credit losses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30–40</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year-end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5</w:t>
      </w:r>
      <w:r>
        <w:rPr>
          <w:color w:val="6B7280"/>
          <w:sz w:val="16"/>
          <w:szCs w:val="16"/>
        </w:rPr>
        <w:t xml:space="preserve">      gaps 41–43</w:t>
      </w:r>
    </w:p>
    <w:p>
      <w:pPr>
        <w:spacing w:before="20" w:after="20" w:line="360" w:lineRule="auto"/>
        <w:ind w:left="200"/>
      </w:pPr>
      <w:r>
        <w:rPr>
          <w:sz w:val="19"/>
          <w:szCs w:val="19"/>
        </w:rPr>
        <w:t xml:space="preserve">An allowance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44–46</w:t>
      </w:r>
    </w:p>
    <w:p>
      <w:pPr>
        <w:spacing w:before="20" w:after="20" w:line="360" w:lineRule="auto"/>
        <w:ind w:left="200"/>
      </w:pPr>
      <w:r>
        <w:rPr>
          <w:sz w:val="19"/>
          <w:szCs w:val="19"/>
        </w:rPr>
        <w:t xml:space="preserve">The aging gives the required ENDING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approach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Over 60 days past due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The first row is done. Complete the other rows and the total, then check your total against Barada's trial balance.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records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Lenders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Aging</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0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400"/>
            <w:tcMar>
              <w:top w:type="dxa" w:w="50"/>
              <w:left w:type="dxa" w:w="110"/>
              <w:bottom w:type="dxa" w:w="50"/>
              <w:right w:type="dxa" w:w="110"/>
            </w:tcMar>
          </w:tcPr>
          <w:p>
            <w:pPr>
              <w:spacing w:before="28" w:after="28"/>
            </w:pPr>
            <w:r>
              <w:rPr>
                <w:sz w:val="15"/>
                <w:szCs w:val="15"/>
              </w:rPr>
              <w:t xml:space="preserve">Transfer T1</w:t>
            </w:r>
          </w:p>
        </w:tc>
        <w:tc>
          <w:tcPr>
            <w:tcW w:type="pct" w:w="260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8" w:after="28"/>
            </w:pPr>
            <w:r>
              <w:rPr>
                <w:sz w:val="15"/>
                <w:szCs w:val="15"/>
              </w:rPr>
              <w:t xml:space="preserve">Transfer T3</w:t>
            </w:r>
          </w:p>
        </w:tc>
        <w:tc>
          <w:tcPr>
            <w:tcW w:type="pct" w:w="260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8" w:after="28"/>
            </w:pPr>
            <w:r>
              <w:rPr>
                <w:sz w:val="15"/>
                <w:szCs w:val="15"/>
              </w:rPr>
              <w:t xml:space="preserve">Transfer T2 details</w:t>
            </w:r>
          </w:p>
        </w:tc>
        <w:tc>
          <w:tcPr>
            <w:tcW w:type="pct" w:w="260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follows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transit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   needed   ·   freight-in   ·   expects   ·   direct   ·   recorded   ·   condition   ·   become   ·   capacity   ·   unusually   ·   freight-out   ·   expenses   ·   non-refundable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the same way,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consignor   ·   No: period cost   ·   reduces</w:t>
            </w:r>
          </w:p>
        </w:tc>
      </w:tr>
    </w:tbl>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The two costs at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November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Weighted-average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22–29</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goods 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perpetual   ·   updates   ·   November   ·   systems   ·   counts   ·   moving   ·   year-end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30–35</w:t>
      </w:r>
    </w:p>
    <w:p>
      <w:pPr>
        <w:spacing w:before="20" w:after="20" w:line="360" w:lineRule="auto"/>
        <w:ind w:left="200"/>
      </w:pPr>
      <w:r>
        <w:rPr>
          <w:sz w:val="19"/>
          <w:szCs w:val="19"/>
        </w:rPr>
        <w:t xml:space="preserve">The Dubai plant had 3,000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pastry trays available in 2025,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dashed boxes below using periodic LIFO. </w:t>
      </w:r>
      <w:r>
        <w:rPr>
          <w:sz w:val="19"/>
          <w:szCs w:val="19"/>
        </w:rPr>
        <w:t xml:space="preserve">Then check that cost of goods sold plus ending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   frozen   ·   inventory   ·   Complete   ·   interchangeable   ·   frameworks   ·   costing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frozen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Complete the dashed boxes below using periodic LIFO.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FIFO with 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if it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results   ·   low-cost   ·   illustrative   ·   liquidation   ·   analyst   ·   during   ·   material   ·   improvement   ·   Income   ·   relationships   ·   disclose</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A company that uses LIFO for its tax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To get FIFO cost of goods sold,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The LIFO reserve is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exam item: when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because   ·   inventory   ·   Retained   ·   cancel   ·   Orontes   ·   Remember   ·   accounts   ·   classic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Net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counterbalanced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New estimated selling price per case</w:t>
            </w:r>
          </w:p>
        </w:tc>
        <w:tc>
          <w:tcPr>
            <w:tcW w:type="pct" w:w="2400"/>
            <w:tcMar>
              <w:top w:type="dxa" w:w="50"/>
              <w:left w:type="dxa" w:w="110"/>
              <w:bottom w:type="dxa" w:w="50"/>
              <w:right w:type="dxa" w:w="110"/>
            </w:tcMar>
          </w:tcPr>
          <w:p>
            <w:pPr>
              <w:spacing w:before="28" w:after="28"/>
            </w:pPr>
            <w:r>
              <w:rPr>
                <w:sz w:val="15"/>
                <w:szCs w:val="15"/>
              </w:rPr>
              <w:t xml:space="preserve">$54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$96,000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cost-to-retail ratio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floor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Chickpeas   ·   Total</w:t>
            </w:r>
          </w:p>
        </w:tc>
      </w:tr>
    </w:tbl>
    <w:p/>
    <w:p>
      <w:pPr>
        <w:spacing w:before="44" w:after="14"/>
      </w:pPr>
      <w:r>
        <w:rPr>
          <w:b/>
          <w:bCs/>
          <w:color w:val="353A7C"/>
          <w:sz w:val="18"/>
          <w:szCs w:val="18"/>
        </w:rPr>
        <w:t xml:space="preserve">Summary 2</w:t>
      </w:r>
      <w:r>
        <w:rPr>
          <w:color w:val="6B7280"/>
          <w:sz w:val="16"/>
          <w:szCs w:val="16"/>
        </w:rPr>
        <w:t xml:space="preserve">      gaps 14–21</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to the total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conservative   ·   compared   ·   non-cancellable   ·   inventory   ·   ceiling   ·   expected   ·   because   ·   category   ·   consistently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22–25</w:t>
      </w:r>
    </w:p>
    <w:p>
      <w:pPr>
        <w:spacing w:before="20" w:after="20" w:line="360" w:lineRule="auto"/>
        <w:ind w:left="200"/>
      </w:pPr>
      <w:r>
        <w:rPr>
          <w:sz w:val="19"/>
          <w:szCs w:val="19"/>
        </w:rPr>
        <w:t xml:space="preserve">Do not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replacement cost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item by item, by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category   ·   directly   ·   question   ·   ceiling   ·   compare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item-by-item basis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destroyed</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Complete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boxes using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retail method. </w:t>
      </w:r>
      <w:r>
        <w:rPr>
          <w:sz w:val="19"/>
          <w:szCs w:val="19"/>
        </w:rPr>
        <w:t xml:space="preserve">A LIFO retail method also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adds a new layer each year at that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ratio. </w:t>
      </w:r>
      <w:r>
        <w:rPr>
          <w:sz w:val="19"/>
          <w:szCs w:val="19"/>
        </w:rPr>
        <w:t xml:space="preserve">The exam tests it less often. </w:t>
      </w:r>
      <w:r>
        <w:rPr>
          <w:sz w:val="19"/>
          <w:szCs w:val="19"/>
        </w:rPr>
        <w:t xml:space="preserve">The gross profit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destroyed   ·   exists   ·   shrinkage   ·   costing   ·   leaves   ·   physical   ·   markdowns   ·   acceptable   ·   year's   ·   estimates   ·   conventional   ·   dashed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available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dashed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Complete the dashed boxes using the conventional retail method. 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records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positive   ·   Held-to-maturity   ·   bought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أداة دين (سند)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fair value 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debt security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recycling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trading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Interest revenue in net income (effective interest)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counted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reversed   ·   decline   ·   improves   ·   limited   ·   Nothing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AFS allowance ≤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20–29</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 10 years ($3,000 a year), and $270,000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which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Glass's   ·   January   ·   equipment   ·   difference   ·   amortized   ·   goodwill   ·   change   ·   equity-method   ·   investor   ·   supplier   ·   depreciated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30–41</w:t>
      </w:r>
    </w:p>
    <w:p>
      <w:pPr>
        <w:spacing w:before="20" w:after="20" w:line="360" w:lineRule="auto"/>
        <w:ind w:left="200"/>
      </w:pPr>
      <w:r>
        <w:rPr>
          <w:sz w:val="19"/>
          <w:szCs w:val="19"/>
        </w:rPr>
        <w:t xml:space="preserve">In 2026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Glass earns $400,000 and pays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questions   ·   amortize   ·   Jordan   ·   guaranteed   ·   irrevocable   ·   significant   ·   definition   ·   impairment   ·   effective   ·   depreciation   ·   eliminated   ·   dividends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Equity method: dividends reduce the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(45)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Jordan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acquire   ·   equipment   ·   demolition   ·   maintenance   ·   purchase   ·   several   ·   relative   ·   construction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Actual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Complete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prospective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Complete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schedule. </w:t>
      </w:r>
      <w:r>
        <w:rPr>
          <w:sz w:val="19"/>
          <w:szCs w:val="19"/>
        </w:rPr>
        <w:t xml:space="preserve">A new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composite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capitalized   ·   accounting   ·   straight-line   ·   useful   ·   composite   ·   remaining   ·   double-declining   ·   delivery   ·   expensing   ·   restate   ·   preferable   ·   Suppose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increases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double-declining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Complete the double-declining schedule.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production   ·   matches   ·   management's   ·   benefits   ·   separate   ·   straight-line   ·   comparability   ·   acceptable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In a Level C question,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   ·   physical</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24–34</w:t>
      </w:r>
    </w:p>
    <w:p>
      <w:pPr>
        <w:spacing w:before="20" w:after="20" w:line="360" w:lineRule="auto"/>
        <w:ind w:left="200"/>
      </w:pPr>
      <w:r>
        <w:rPr>
          <w:sz w:val="19"/>
          <w:szCs w:val="19"/>
        </w:rPr>
        <w:t xml:space="preserve">Otherwise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35–39</w:t>
      </w:r>
    </w:p>
    <w:p>
      <w:pPr>
        <w:spacing w:before="20" w:after="20" w:line="360" w:lineRule="auto"/>
        <w:ind w:left="200"/>
      </w:pPr>
      <w:r>
        <w:rPr>
          <w:sz w:val="19"/>
          <w:szCs w:val="19"/>
        </w:rPr>
        <w:t xml:space="preserve">Step 1 uses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(44)</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Year 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Year 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tcMar>
              <w:top w:type="dxa" w:w="50"/>
              <w:left w:type="dxa" w:w="110"/>
              <w:bottom w:type="dxa" w:w="50"/>
              <w:right w:type="dxa" w:w="110"/>
            </w:tcMar>
          </w:tcPr>
          <w:p>
            <w:pPr>
              <w:spacing w:before="28" w:after="28"/>
            </w:pPr>
            <w:r>
              <w:rPr>
                <w:sz w:val="15"/>
                <w:szCs w:val="15"/>
              </w:rPr>
              <w:t xml:space="preserve">Year 4</w:t>
            </w:r>
          </w:p>
        </w:tc>
        <w:tc>
          <w:tcPr>
            <w:tcW w:type="pct" w:w="2600"/>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w:t>
            </w:r>
          </w:p>
        </w:tc>
        <w:tc>
          <w:tcPr>
            <w:tcW w:type="pct" w:w="2600"/>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(47)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400"/>
            <w:tcMar>
              <w:top w:type="dxa" w:w="50"/>
              <w:left w:type="dxa" w:w="110"/>
              <w:bottom w:type="dxa" w:w="50"/>
              <w:right w:type="dxa" w:w="110"/>
            </w:tcMar>
          </w:tcPr>
          <w:p>
            <w:pPr>
              <w:spacing w:before="28" w:after="28"/>
            </w:pPr>
            <w:r>
              <w:rPr>
                <w:sz w:val="15"/>
                <w:szCs w:val="15"/>
              </w:rPr>
              <w:t xml:space="preserve">B</w:t>
            </w:r>
          </w:p>
        </w:tc>
        <w:tc>
          <w:tcPr>
            <w:tcW w:type="pct" w:w="2600"/>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400"/>
            <w:tcMar>
              <w:top w:type="dxa" w:w="50"/>
              <w:left w:type="dxa" w:w="110"/>
              <w:bottom w:type="dxa" w:w="50"/>
              <w:right w:type="dxa" w:w="110"/>
            </w:tcMar>
          </w:tcPr>
          <w:p>
            <w:pPr>
              <w:spacing w:before="28" w:after="28"/>
            </w:pPr>
            <w:r>
              <w:rPr>
                <w:sz w:val="15"/>
                <w:szCs w:val="15"/>
              </w:rPr>
              <w:t xml:space="preserve">V</w:t>
            </w:r>
          </w:p>
        </w:tc>
        <w:tc>
          <w:tcPr>
            <w:tcW w:type="pct" w:w="2600"/>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(49)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reporting unit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question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variable   ·   contract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probable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21"/>
        <w:gridCol w:w="4224"/>
        <w:gridCol w:w="1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834"/>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834"/>
            <w:tcMar>
              <w:top w:type="dxa" w:w="50"/>
              <w:left w:type="dxa" w:w="110"/>
              <w:bottom w:type="dxa" w:w="50"/>
              <w:right w:type="dxa" w:w="110"/>
            </w:tcMar>
          </w:tcPr>
          <w:p>
            <w:pPr>
              <w:spacing w:before="28" w:after="28"/>
            </w:pPr>
            <w:r>
              <w:rPr>
                <w:sz w:val="15"/>
                <w:szCs w:val="15"/>
              </w:rPr>
              <w:t xml:space="preserve">Most likely amount</w:t>
            </w:r>
          </w:p>
        </w:tc>
        <w:tc>
          <w:tcPr>
            <w:tcW w:type="pct" w:w="2200"/>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966"/>
            <w:tcMar>
              <w:top w:type="dxa" w:w="50"/>
              <w:left w:type="dxa" w:w="110"/>
              <w:bottom w:type="dxa" w:w="50"/>
              <w:right w:type="dxa" w:w="110"/>
            </w:tcMar>
          </w:tcPr>
          <w:p>
            <w:pPr>
              <w:spacing w:before="28" w:after="28"/>
            </w:pPr>
            <w:r>
              <w:rPr>
                <w:sz w:val="15"/>
                <w:szCs w:val="15"/>
              </w:rPr>
              <w:t xml:space="preserve">2,328,000</w:t>
            </w:r>
          </w:p>
        </w:tc>
      </w:tr>
      <w:tr>
        <w:tc>
          <w:tcPr>
            <w:tcW w:type="pct" w:w="1834"/>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966"/>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834"/>
            <w:tcMar>
              <w:top w:type="dxa" w:w="50"/>
              <w:left w:type="dxa" w:w="110"/>
              <w:bottom w:type="dxa" w:w="50"/>
              <w:right w:type="dxa" w:w="110"/>
            </w:tcMar>
          </w:tcPr>
          <w:p>
            <w:pPr>
              <w:spacing w:before="28" w:after="28"/>
            </w:pPr>
            <w:r>
              <w:rPr>
                <w:sz w:val="15"/>
                <w:szCs w:val="15"/>
              </w:rPr>
              <w:t xml:space="preserve">Constraint</w:t>
            </w:r>
          </w:p>
        </w:tc>
        <w:tc>
          <w:tcPr>
            <w:tcW w:type="pct" w:w="2200"/>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96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asset the customer controls, or if the asset has no other use and the company has a right to payment for work done so far.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benefit   ·   control   ·   delivered   ·   over-time   ·   Progress   ·   receives   ·   improves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Olive oil is recognized at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Total 2026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$515,250. </w:t>
      </w:r>
      <w:r>
        <w:rPr>
          <w:sz w:val="19"/>
          <w:szCs w:val="19"/>
        </w:rPr>
        <w:t xml:space="preserve">The remaining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performs   ·   delivery   ·   delivered   ·   revenue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Payments rarely match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Total 2026 revenue is $515,250.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inventory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separately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whether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correct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expensed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compensated absences   ·   including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paid. </w:t>
      </w:r>
      <w:r>
        <w:rPr>
          <w:sz w:val="19"/>
          <w:szCs w:val="19"/>
        </w:rPr>
        <w:t xml:space="preserve">A liability or an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warranty   ·   provision   ·   repairs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Current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periods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amount on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Tax-exempt   ·   carrying   ·   increase   ·   reverse   ·   balance   ·   deductible   ·   differences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Tax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Deferred tax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Temporary, taxable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 tax 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because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permanent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13–17</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warranty   ·   effective   ·   equipment   ·   statutory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00"/>
            <w:tcMar>
              <w:top w:type="dxa" w:w="50"/>
              <w:left w:type="dxa" w:w="110"/>
              <w:bottom w:type="dxa" w:w="50"/>
              <w:right w:type="dxa" w:w="110"/>
            </w:tcMar>
          </w:tcPr>
          <w:p>
            <w:pPr>
              <w:spacing w:before="28" w:after="28"/>
            </w:pPr>
            <w:r>
              <w:rPr>
                <w:sz w:val="15"/>
                <w:szCs w:val="15"/>
              </w:rPr>
              <w:t xml:space="preserve">Current tax expense</w:t>
            </w:r>
          </w:p>
        </w:tc>
        <w:tc>
          <w:tcPr>
            <w:tcW w:type="pct" w:w="1400"/>
            <w:tcMar>
              <w:top w:type="dxa" w:w="50"/>
              <w:left w:type="dxa" w:w="110"/>
              <w:bottom w:type="dxa" w:w="50"/>
              <w:right w:type="dxa" w:w="110"/>
            </w:tcMar>
          </w:tcPr>
          <w:p>
            <w:pPr>
              <w:spacing w:before="28" w:after="28"/>
            </w:pPr>
            <w:r>
              <w:rPr>
                <w:sz w:val="15"/>
                <w:szCs w:val="15"/>
              </w:rPr>
              <w:t xml:space="preserve">357,000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600,000</w:t>
            </w:r>
          </w:p>
        </w:tc>
        <w:tc>
          <w:tcPr>
            <w:tcW w:type="pct" w:w="1400"/>
            <w:shd w:fill="FBFAF6" w:val="clear"/>
            <w:tcMar>
              <w:top w:type="dxa" w:w="50"/>
              <w:left w:type="dxa" w:w="110"/>
              <w:bottom w:type="dxa" w:w="50"/>
              <w:right w:type="dxa" w:w="110"/>
            </w:tcMar>
          </w:tcPr>
          <w:p>
            <w:pPr>
              <w:spacing w:before="28" w:after="28"/>
            </w:pPr>
            <w:r>
              <w:rPr>
                <w:sz w:val="15"/>
                <w:szCs w:val="15"/>
              </w:rPr>
              <w:t xml:space="preserve">150,000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25% × 38,000</w:t>
            </w:r>
          </w:p>
        </w:tc>
        <w:tc>
          <w:tcPr>
            <w:tcW w:type="pct" w:w="1400"/>
            <w:tcMar>
              <w:top w:type="dxa" w:w="50"/>
              <w:left w:type="dxa" w:w="110"/>
              <w:bottom w:type="dxa" w:w="50"/>
              <w:right w:type="dxa" w:w="110"/>
            </w:tcMar>
          </w:tcPr>
          <w:p>
            <w:pPr>
              <w:spacing w:before="28" w:after="28"/>
            </w:pPr>
            <w:r>
              <w:rPr>
                <w:sz w:val="15"/>
                <w:szCs w:val="15"/>
              </w:rPr>
              <w:t xml:space="preserve">(9,500)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140,500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tcMar>
              <w:top w:type="dxa" w:w="50"/>
              <w:left w:type="dxa" w:w="110"/>
              <w:bottom w:type="dxa" w:w="50"/>
              <w:right w:type="dxa" w:w="110"/>
            </w:tcMar>
          </w:tcPr>
          <w:p>
            <w:pPr>
              <w:spacing w:before="28" w:after="28"/>
            </w:pPr>
            <w:r>
              <w:rPr>
                <w:sz w:val="15"/>
                <w:szCs w:val="15"/>
              </w:rPr>
              <w:t xml:space="preserve">497,500</w:t>
            </w:r>
          </w:p>
        </w:tc>
        <w:tc>
          <w:tcPr>
            <w:tcW w:type="pct" w:w="1400"/>
            <w:tcMar>
              <w:top w:type="dxa" w:w="50"/>
              <w:left w:type="dxa" w:w="110"/>
              <w:bottom w:type="dxa" w:w="50"/>
              <w:right w:type="dxa" w:w="110"/>
            </w:tcMar>
          </w:tcPr>
          <w:p>
            <w:pPr>
              <w:spacing w:before="28" w:after="28"/>
            </w:pPr>
            <w:r>
              <w:rPr>
                <w:sz w:val="15"/>
                <w:szCs w:val="15"/>
              </w:rPr>
              <w:t xml:space="preserve">24.875%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Tax at the statutory rate: 25% × 2,000,000</w:t>
            </w:r>
          </w:p>
        </w:tc>
        <w:tc>
          <w:tcPr>
            <w:tcW w:type="pct" w:w="1400"/>
            <w:tcMar>
              <w:top w:type="dxa" w:w="50"/>
              <w:left w:type="dxa" w:w="110"/>
              <w:bottom w:type="dxa" w:w="50"/>
              <w:right w:type="dxa" w:w="110"/>
            </w:tcMar>
          </w:tcPr>
          <w:p>
            <w:pPr>
              <w:spacing w:before="28" w:after="28"/>
            </w:pPr>
            <w:r>
              <w:rPr>
                <w:sz w:val="15"/>
                <w:szCs w:val="15"/>
              </w:rPr>
              <w:t xml:space="preserve">500,000</w:t>
            </w:r>
          </w:p>
        </w:tc>
        <w:tc>
          <w:tcPr>
            <w:tcW w:type="pct" w:w="1400"/>
            <w:tcMar>
              <w:top w:type="dxa" w:w="50"/>
              <w:left w:type="dxa" w:w="110"/>
              <w:bottom w:type="dxa" w:w="50"/>
              <w:right w:type="dxa" w:w="110"/>
            </w:tcMar>
          </w:tcPr>
          <w:p>
            <w:pPr>
              <w:spacing w:before="28" w:after="28"/>
            </w:pPr>
            <w:r>
              <w:rPr>
                <w:sz w:val="15"/>
                <w:szCs w:val="15"/>
              </w:rPr>
              <w:t xml:space="preserve">25.000%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00"/>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400"/>
            <w:tcMar>
              <w:top w:type="dxa" w:w="50"/>
              <w:left w:type="dxa" w:w="110"/>
              <w:bottom w:type="dxa" w:w="50"/>
              <w:right w:type="dxa" w:w="110"/>
            </w:tcMar>
          </w:tcPr>
          <w:p>
            <w:pPr>
              <w:spacing w:before="28" w:after="28"/>
            </w:pPr>
            <w:r>
              <w:rPr>
                <w:sz w:val="15"/>
                <w:szCs w:val="15"/>
              </w:rPr>
              <w:t xml:space="preserve">2,500</w:t>
            </w:r>
          </w:p>
        </w:tc>
        <w:tc>
          <w:tcPr>
            <w:tcW w:type="pct" w:w="1400"/>
            <w:tcMar>
              <w:top w:type="dxa" w:w="50"/>
              <w:left w:type="dxa" w:w="110"/>
              <w:bottom w:type="dxa" w:w="50"/>
              <w:right w:type="dxa" w:w="110"/>
            </w:tcMar>
          </w:tcPr>
          <w:p>
            <w:pPr>
              <w:spacing w:before="28" w:after="28"/>
            </w:pPr>
            <w:r>
              <w:rPr>
                <w:sz w:val="15"/>
                <w:szCs w:val="15"/>
              </w:rPr>
              <w:t xml:space="preserve">0.125%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400"/>
            <w:shd w:fill="FBFAF6" w:val="clear"/>
            <w:tcMar>
              <w:top w:type="dxa" w:w="50"/>
              <w:left w:type="dxa" w:w="110"/>
              <w:bottom w:type="dxa" w:w="50"/>
              <w:right w:type="dxa" w:w="110"/>
            </w:tcMar>
          </w:tcPr>
          <w:p>
            <w:pPr>
              <w:spacing w:before="28" w:after="28"/>
            </w:pPr>
            <w:r>
              <w:rPr>
                <w:sz w:val="15"/>
                <w:szCs w:val="15"/>
              </w:rPr>
              <w:t xml:space="preserve">497,500</w:t>
            </w:r>
          </w:p>
        </w:tc>
        <w:tc>
          <w:tcPr>
            <w:tcW w:type="pct" w:w="1400"/>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00"/>
            <w:tcMar>
              <w:top w:type="dxa" w:w="50"/>
              <w:left w:type="dxa" w:w="110"/>
              <w:bottom w:type="dxa" w:w="50"/>
              <w:right w:type="dxa" w:w="110"/>
            </w:tcMar>
          </w:tcPr>
          <w:p>
            <w:pPr>
              <w:spacing w:before="28" w:after="28"/>
            </w:pPr>
            <w:r>
              <w:rPr>
                <w:sz w:val="15"/>
                <w:szCs w:val="15"/>
              </w:rPr>
              <w:t xml:space="preserve">Permanent</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0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Taxable income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effective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ignored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includes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Orontes's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entities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allowance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version   ·   valuation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Deductible temporary difference (DTA)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depends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100,000</w:t>
            </w:r>
          </w:p>
        </w:tc>
        <w:tc>
          <w:tcPr>
            <w:tcW w:type="pct" w:w="1400"/>
            <w:tcMar>
              <w:top w:type="dxa" w:w="50"/>
              <w:left w:type="dxa" w:w="110"/>
              <w:bottom w:type="dxa" w:w="50"/>
              <w:right w:type="dxa" w:w="110"/>
            </w:tcMar>
          </w:tcPr>
          <w:p>
            <w:pPr>
              <w:spacing w:before="28" w:after="28"/>
            </w:pPr>
            <w:r>
              <w:rPr>
                <w:sz w:val="15"/>
                <w:szCs w:val="15"/>
              </w:rPr>
              <w:t xml:space="preserve">250,000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w:t>
            </w:r>
          </w:p>
        </w:tc>
        <w:tc>
          <w:tcPr>
            <w:tcW w:type="pct" w:w="1400"/>
            <w:shd w:fill="FBFAF6" w:val="clear"/>
            <w:tcMar>
              <w:top w:type="dxa" w:w="50"/>
              <w:left w:type="dxa" w:w="110"/>
              <w:bottom w:type="dxa" w:w="50"/>
              <w:right w:type="dxa" w:w="110"/>
            </w:tcMar>
          </w:tcPr>
          <w:p>
            <w:pPr>
              <w:spacing w:before="28" w:after="28"/>
            </w:pPr>
            <w:r>
              <w:rPr>
                <w:sz w:val="15"/>
                <w:szCs w:val="15"/>
              </w:rPr>
              <w:t xml:space="preserve">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6%</w:t>
            </w:r>
          </w:p>
        </w:tc>
        <w:tc>
          <w:tcPr>
            <w:tcW w:type="pct" w:w="1400"/>
            <w:tcMar>
              <w:top w:type="dxa" w:w="50"/>
              <w:left w:type="dxa" w:w="110"/>
              <w:bottom w:type="dxa" w:w="50"/>
              <w:right w:type="dxa" w:w="110"/>
            </w:tcMar>
          </w:tcPr>
          <w:p>
            <w:pPr>
              <w:spacing w:before="28" w:after="28"/>
            </w:pPr>
            <w:r>
              <w:rPr>
                <w:sz w:val="15"/>
                <w:szCs w:val="15"/>
              </w:rPr>
              <w:t xml:space="preserve">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c>
          <w:tcPr>
            <w:tcW w:type="pct" w:w="1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00"/>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400"/>
            <w:tcMar>
              <w:top w:type="dxa" w:w="50"/>
              <w:left w:type="dxa" w:w="110"/>
              <w:bottom w:type="dxa" w:w="50"/>
              <w:right w:type="dxa" w:w="110"/>
            </w:tcMar>
          </w:tcPr>
          <w:p>
            <w:pPr>
              <w:spacing w:before="28" w:after="28"/>
            </w:pPr>
            <w:r>
              <w:rPr>
                <w:sz w:val="15"/>
                <w:szCs w:val="15"/>
              </w:rPr>
              <w:t xml:space="preserve">421,236</w:t>
            </w:r>
          </w:p>
        </w:tc>
        <w:tc>
          <w:tcPr>
            <w:tcW w:type="pct" w:w="1400"/>
            <w:tcMar>
              <w:top w:type="dxa" w:w="50"/>
              <w:left w:type="dxa" w:w="110"/>
              <w:bottom w:type="dxa" w:w="50"/>
              <w:right w:type="dxa" w:w="110"/>
            </w:tcMar>
          </w:tcPr>
          <w:p>
            <w:pPr>
              <w:spacing w:before="28" w:after="28"/>
            </w:pPr>
            <w:r>
              <w:rPr>
                <w:sz w:val="15"/>
                <w:szCs w:val="15"/>
              </w:rPr>
              <w:t xml:space="preserve">866,276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400"/>
            <w:shd w:fill="FBFAF6" w:val="clear"/>
            <w:tcMar>
              <w:top w:type="dxa" w:w="50"/>
              <w:left w:type="dxa" w:w="110"/>
              <w:bottom w:type="dxa" w:w="50"/>
              <w:right w:type="dxa" w:w="110"/>
            </w:tcMar>
          </w:tcPr>
          <w:p>
            <w:pPr>
              <w:spacing w:before="28" w:after="28"/>
            </w:pPr>
            <w:r>
              <w:rPr>
                <w:sz w:val="15"/>
                <w:szCs w:val="15"/>
              </w:rPr>
              <w:t xml:space="preserve">421,236</w:t>
            </w:r>
          </w:p>
        </w:tc>
        <w:tc>
          <w:tcPr>
            <w:tcW w:type="pct" w:w="1400"/>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normally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records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principal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principal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400"/>
            <w:tcMar>
              <w:top w:type="dxa" w:w="50"/>
              <w:left w:type="dxa" w:w="110"/>
              <w:bottom w:type="dxa" w:w="50"/>
              <w:right w:type="dxa" w:w="110"/>
            </w:tcMar>
          </w:tcPr>
          <w:p>
            <w:pPr>
              <w:spacing w:before="28" w:after="28"/>
            </w:pPr>
            <w:r>
              <w:rPr>
                <w:sz w:val="15"/>
                <w:szCs w:val="15"/>
              </w:rPr>
              <w:t xml:space="preserve">L1 Delivery trucks</w:t>
            </w:r>
          </w:p>
        </w:tc>
        <w:tc>
          <w:tcPr>
            <w:tcW w:type="pct" w:w="2600"/>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00"/>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8" w:after="28"/>
            </w:pPr>
            <w:r>
              <w:rPr>
                <w:sz w:val="15"/>
                <w:szCs w:val="15"/>
              </w:rPr>
              <w:t xml:space="preserve">L3 Storage room</w:t>
            </w:r>
          </w:p>
        </w:tc>
        <w:tc>
          <w:tcPr>
            <w:tcW w:type="pct" w:w="2600"/>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00"/>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Depreciation   ·   recognized   ·   fair value less cost to sell   ·   period cost   ·   principle   ·   systematic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Advertising and research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Comprehensive income is net income plus other comprehensive income. </w:t>
      </w:r>
      <w:r>
        <w:rPr>
          <w:sz w:val="19"/>
          <w:szCs w:val="19"/>
        </w:rPr>
        <w:t xml:space="preserve">U.S. OCI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holding gains and losses 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adjustments,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of cash-flow hedges, and some pension gains and losses.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removes   ·   counted   ·   Without   ·   securities   ·   available-for-sale   ·   includes   ·   Unrealized   ·   reclassification   ·   translation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After tax at 25%, OCI is $6,000, and AOCI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removes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خسارة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builds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period cost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 shift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upstream unrealized profit</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Adjusted net income of Levant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Levant's 2027 net income   ·   Less: dividends paid to NCI   ·   equity method   ·   NCI at January 1, 2027 (fair value)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inventory</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reduces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Not depreciation. 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frameworks   ·   screen   ·   Because   ·   earlier   ·   cash-generating   ·   measure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goodwill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Inventory write-downs are reversed when NRV recovers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discussing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Truck lease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tested first with undiscounted cash flows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defined benefit plan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intellectual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Headroom under bank loan covenants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e3ab0274cc721aec522d6b552b42df94bd71405a.png" Type="http://schemas.openxmlformats.org/officeDocument/2006/relationships/image"/><Relationship Id="rId105" Target="media/ee850982fcdb7396c23f1f5394785c09793d16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606b29f8e606b81a649bb3ab3cb2a9fdad59a237.png" Type="http://schemas.openxmlformats.org/officeDocument/2006/relationships/image"/><Relationship Id="rId109" Target="media/efef428e16f6bcd528bc2d7543a0c9f34eefe1aa.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114" Target="media/b787336fc654f523ad74989a47cc8d612fe08f0b.png" Type="http://schemas.openxmlformats.org/officeDocument/2006/relationships/image"/><Relationship Id="rId115" Target="media/c390347e725739f5aced1d5707d7c7605db50f90.png" Type="http://schemas.openxmlformats.org/officeDocument/2006/relationships/image"/><Relationship Id="rId116" Target="media/d056aa72316d75178c03d54d92fcd78b476581f4.png" Type="http://schemas.openxmlformats.org/officeDocument/2006/relationships/image"/><Relationship Id="rId117" Target="media/b3c13ee14d573e9c11a446fa760a79c792d27b12.png" Type="http://schemas.openxmlformats.org/officeDocument/2006/relationships/image"/><Relationship Id="rId118" Target="media/62696186d75f7aba50e3a5457b5ee77057337ef6.png" Type="http://schemas.openxmlformats.org/officeDocument/2006/relationships/image"/><Relationship Id="rId119" Target="media/65fe0622ca8f6022da48d66e6b45b9348c94dc1a.png" Type="http://schemas.openxmlformats.org/officeDocument/2006/relationships/image"/><Relationship Id="rId120" Target="media/2ec8f26fe1363498b17b14836aa057388e3b2797.png" Type="http://schemas.openxmlformats.org/officeDocument/2006/relationships/image"/><Relationship Id="rId121" Target="media/a8d893ed39d62d80f594cff6c158c76e2880c991.png" Type="http://schemas.openxmlformats.org/officeDocument/2006/relationships/image"/><Relationship Id="rId122" Target="media/f7f05d536e572afa00a2beade0d626b2ca466cfc.png" Type="http://schemas.openxmlformats.org/officeDocument/2006/relationships/image"/><Relationship Id="rId123" Target="media/4c3fa441cc369e817f4f6a6716835197d532c505.png" Type="http://schemas.openxmlformats.org/officeDocument/2006/relationships/image"/><Relationship Id="rId124" Target="media/92e983519e27173f101a38f225c58733cf9262b7.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5f8657749c0b7cca9bff7cd90214cca4deb5c264.png" Type="http://schemas.openxmlformats.org/officeDocument/2006/relationships/image"/><Relationship Id="rId128" Target="media/24d9e605f47edce61e68b7ae3f2a818a9e5e93cb.png" Type="http://schemas.openxmlformats.org/officeDocument/2006/relationships/image"/><Relationship Id="rId129" Target="media/eb423f01e812569dc2747a9fc3a445d9e38cf9d8.png" Type="http://schemas.openxmlformats.org/officeDocument/2006/relationships/image"/><Relationship Id="rId130" Target="media/9ace046e47acbd9b19fa59901d68b242ad520c03.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98671c5b9b80adaf867b9e3dcdcfee344ee2759f.png" Type="http://schemas.openxmlformats.org/officeDocument/2006/relationships/image"/><Relationship Id="rId134" Target="media/99647f6ebbd49a11a2e841816a0b8ee84d4dfdea.png" Type="http://schemas.openxmlformats.org/officeDocument/2006/relationships/image"/><Relationship Id="rId135" Target="media/8e8240a756d8365560b2c35e38dad7ae05558565.png" Type="http://schemas.openxmlformats.org/officeDocument/2006/relationships/image"/><Relationship Id="rId136" Target="media/c2ccdcef03ee4613a15991a3f896b6b54d951f4d.png" Type="http://schemas.openxmlformats.org/officeDocument/2006/relationships/image"/><Relationship Id="rId137" Target="media/8db2abe1ddbaafa868e515fed5519dfe0d92bc90.png" Type="http://schemas.openxmlformats.org/officeDocument/2006/relationships/image"/><Relationship Id="rId138" Target="media/cc9a644d92103316c913de4bde48f6c0a6ffc573.png" Type="http://schemas.openxmlformats.org/officeDocument/2006/relationships/image"/><Relationship Id="rId139" Target="media/85eabf43db71974cbc38e28059b6e26880a3bf42.png" Type="http://schemas.openxmlformats.org/officeDocument/2006/relationships/image"/><Relationship Id="rId140" Target="media/cd050a3751879b5e2321c2fea9ec57d212e7bf58.png" Type="http://schemas.openxmlformats.org/officeDocument/2006/relationships/image"/><Relationship Id="rId141" Target="media/0e3dcc198ce4b402c04a40ded42335ed43da313a.png" Type="http://schemas.openxmlformats.org/officeDocument/2006/relationships/image"/><Relationship Id="rId142" Target="media/9d21e786eb1cb89d97e9bbf8aac784cf0ebfcd79.png" Type="http://schemas.openxmlformats.org/officeDocument/2006/relationships/image"/><Relationship Id="rId143" Target="media/039cfb7799b0037741ef0ec7b9f6a3becc800c16.png" Type="http://schemas.openxmlformats.org/officeDocument/2006/relationships/image"/><Relationship Id="rId144" Target="media/90990591fe9056e34070906d86f9fe9c1ec3c455.png" Type="http://schemas.openxmlformats.org/officeDocument/2006/relationships/image"/><Relationship Id="rId145" Target="media/94391c13d155da102c3d4694cffbe6152d6ef6f4.png" Type="http://schemas.openxmlformats.org/officeDocument/2006/relationships/image"/><Relationship Id="rId146" Target="media/d7c0273dddb715f3a5f8f7769e3b237658eeef89.png" Type="http://schemas.openxmlformats.org/officeDocument/2006/relationships/image"/><Relationship Id="rId147" Target="media/e9beb181497f995c7f4f820f51958262b18d4a9c.png" Type="http://schemas.openxmlformats.org/officeDocument/2006/relationships/image"/><Relationship Id="rId148" Target="media/611f181b763d2eec21e3333049fd1941c35b1f3c.png" Type="http://schemas.openxmlformats.org/officeDocument/2006/relationships/image"/><Relationship Id="rId149" Target="media/185b272c7b29ebe30bd5a70e90af4c5da883be9f.png" Type="http://schemas.openxmlformats.org/officeDocument/2006/relationships/image"/><Relationship Id="rId150" Target="media/a2bb541241bbac7bf96fd3c7b95978d07a1337fa.png" Type="http://schemas.openxmlformats.org/officeDocument/2006/relationships/image"/><Relationship Id="rId151" Target="media/855fba116821b807c9ab51a62accc1d61365b658.png" Type="http://schemas.openxmlformats.org/officeDocument/2006/relationships/image"/><Relationship Id="rId152" Target="media/42dba3d6655ed6b730ca17aee695b94b39c2a2e0.png" Type="http://schemas.openxmlformats.org/officeDocument/2006/relationships/image"/><Relationship Id="rId153" Target="media/f7d1965f677c9fbe95666bdd7ac6e8576fe75753.png" Type="http://schemas.openxmlformats.org/officeDocument/2006/relationships/image"/><Relationship Id="rId154" Target="media/2b54fdcf833fe11ce0b4dc25f34d99d7e563dd72.png" Type="http://schemas.openxmlformats.org/officeDocument/2006/relationships/image"/><Relationship Id="rId155" Target="media/e2b35aaa50a5251826b899af27c7c527083e7ff0.png" Type="http://schemas.openxmlformats.org/officeDocument/2006/relationships/image"/><Relationship Id="rId156" Target="media/fba2b5ada76d7f9688f2668941cb6c8603ea7ef5.png" Type="http://schemas.openxmlformats.org/officeDocument/2006/relationships/image"/><Relationship Id="rId157" Target="media/f525dab043aa0b268e5e7845c36cd24090dfa1f2.png" Type="http://schemas.openxmlformats.org/officeDocument/2006/relationships/image"/><Relationship Id="rId158" Target="media/647e6f9a0a2afefce9e8e3680bfb8cad475ad403.png" Type="http://schemas.openxmlformats.org/officeDocument/2006/relationships/image"/><Relationship Id="rId159" Target="media/cf723f9c8f93e9a2bae680238b9bd4831ee43a6a.png" Type="http://schemas.openxmlformats.org/officeDocument/2006/relationships/image"/><Relationship Id="rId160" Target="media/5e2f42569df02f548672179510681a43a642affa.png" Type="http://schemas.openxmlformats.org/officeDocument/2006/relationships/image"/><Relationship Id="rId161" Target="media/aace9f1063881c66106365b1eabb457b06d1f8e5.png" Type="http://schemas.openxmlformats.org/officeDocument/2006/relationships/image"/><Relationship Id="rId162" Target="media/cedb5ab9d7c91d775501d61b6ee2e8f96dc509cd.png" Type="http://schemas.openxmlformats.org/officeDocument/2006/relationships/image"/><Relationship Id="rId163" Target="media/1e08ac3cb744318270531de87752c4c4d74589e3.png" Type="http://schemas.openxmlformats.org/officeDocument/2006/relationships/image"/><Relationship Id="rId164" Target="media/98388d710a55d3eb659007cf17113d5da11282b9.png" Type="http://schemas.openxmlformats.org/officeDocument/2006/relationships/image"/><Relationship Id="rId165" Target="media/a8f7ea33e08aa48f15062bdfe226955cc34ad0d3.png" Type="http://schemas.openxmlformats.org/officeDocument/2006/relationships/image"/><Relationship Id="rId166" Target="media/ce5485de9a2a57634b2f77957276f20369ca7f19.png" Type="http://schemas.openxmlformats.org/officeDocument/2006/relationships/image"/><Relationship Id="rId167" Target="media/2f2b395c51d2599f16674019ad8bb92abbf954e5.png" Type="http://schemas.openxmlformats.org/officeDocument/2006/relationships/image"/><Relationship Id="rId168" Target="media/e8b25e07cdaf15d08cbffc91acf11f97ae334976.png" Type="http://schemas.openxmlformats.org/officeDocument/2006/relationships/image"/><Relationship Id="rId169" Target="media/b00ea7490dd164b3af8b631a42d8342e53a455f1.png" Type="http://schemas.openxmlformats.org/officeDocument/2006/relationships/image"/><Relationship Id="rId170" Target="media/883d6d583445e81aedf1f7b8b157a9d6569acfa7.png" Type="http://schemas.openxmlformats.org/officeDocument/2006/relationships/image"/><Relationship Id="rId171" Target="media/97a4f29ec1e653776a43cf8275c78700b0927240.png" Type="http://schemas.openxmlformats.org/officeDocument/2006/relationships/image"/><Relationship Id="rId172" Target="media/ca821dc7724e8d7a963392327aebeb84ce07a2ae.png" Type="http://schemas.openxmlformats.org/officeDocument/2006/relationships/image"/><Relationship Id="rId173" Target="media/3b396b24f7bb9f4f794b379ee8ceb56d875595f6.png" Type="http://schemas.openxmlformats.org/officeDocument/2006/relationships/image"/><Relationship Id="rId174" Target="media/62ab27d3e4954656d8b7dccbb46172aa1c114b06.png" Type="http://schemas.openxmlformats.org/officeDocument/2006/relationships/image"/><Relationship Id="rId175" Target="media/0ab1e5735cfdf87991bbef41a2f57cb614950b6e.png" Type="http://schemas.openxmlformats.org/officeDocument/2006/relationships/image"/><Relationship Id="rId176" Target="media/683bc8aad0b67e817be65e6f6237919d39e2416a.png" Type="http://schemas.openxmlformats.org/officeDocument/2006/relationships/image"/><Relationship Id="rId177" Target="media/d111153324099ec7b943f10c4bc83f601e6f0d84.png" Type="http://schemas.openxmlformats.org/officeDocument/2006/relationships/image"/><Relationship Id="rId178" Target="media/9a78e68ea5c28c7993f9406368a6ecf213c4deb2.png" Type="http://schemas.openxmlformats.org/officeDocument/2006/relationships/image"/><Relationship Id="rId179" Target="media/12766161e94680159a2a21ae2ee0a457f938cdf7.png" Type="http://schemas.openxmlformats.org/officeDocument/2006/relationships/image"/><Relationship Id="rId180" Target="media/19a8f0638aa75a07518ee3e0a832d7a465424ec1.png" Type="http://schemas.openxmlformats.org/officeDocument/2006/relationships/image"/><Relationship Id="rId181" Target="media/e1b630ad262b1fe8c2900059e66f27b8c0ccccca.png" Type="http://schemas.openxmlformats.org/officeDocument/2006/relationships/image"/><Relationship Id="rId182" Target="media/95239b04230276ae52a00ec91eabbdc4c70fb25b.png" Type="http://schemas.openxmlformats.org/officeDocument/2006/relationships/image"/><Relationship Id="rId183" Target="media/ed46f9f1b2f5c2affe6908cc38b9197f1f9c1ac1.png" Type="http://schemas.openxmlformats.org/officeDocument/2006/relationships/image"/><Relationship Id="rId184" Target="media/d6466bce8f3cbfbee9aa4c85c55b95d20c73caac.png" Type="http://schemas.openxmlformats.org/officeDocument/2006/relationships/image"/><Relationship Id="rId185" Target="media/74c988504ab235d3e1218af4eb36c305eb3b82ee.png" Type="http://schemas.openxmlformats.org/officeDocument/2006/relationships/image"/><Relationship Id="rId186" Target="media/9dd87b9b12328c77c7e0e2a46945795ac59aa9ed.png" Type="http://schemas.openxmlformats.org/officeDocument/2006/relationships/image"/><Relationship Id="rId187" Target="media/107ce98489355feb9a7abe24dd8b5830031b1f39.png" Type="http://schemas.openxmlformats.org/officeDocument/2006/relationships/image"/><Relationship Id="rId188" Target="media/b3b5045f6a64492f21b9b2f98b268b1174a57933.png" Type="http://schemas.openxmlformats.org/officeDocument/2006/relationships/image"/><Relationship Id="rId189" Target="media/abbdf57c8cd0304776854e99905965adc41728e6.png" Type="http://schemas.openxmlformats.org/officeDocument/2006/relationships/image"/><Relationship Id="rId190" Target="media/276faacc22f69db430f811d8773968f6be17fc17.png" Type="http://schemas.openxmlformats.org/officeDocument/2006/relationships/image"/><Relationship Id="rId191" Target="media/2c010de4e07342a197a9c4a954c206ff85abaa6e.png" Type="http://schemas.openxmlformats.org/officeDocument/2006/relationships/image"/><Relationship Id="rId192" Target="media/5f34ad085fdfd10f0cb38ac3a807f5fc13bd99a3.png" Type="http://schemas.openxmlformats.org/officeDocument/2006/relationships/image"/><Relationship Id="rId193" Target="media/965105890a0b0e0f2efd70606d6606e6ad2833b3.png" Type="http://schemas.openxmlformats.org/officeDocument/2006/relationships/image"/><Relationship Id="rId194" Target="media/346e79b9c4429a31d43612e19e93195e6ab9bc29.png" Type="http://schemas.openxmlformats.org/officeDocument/2006/relationships/image"/><Relationship Id="rId195" Target="media/fcfb45eca7d811eb81d64b64dc59db8a3cfa597a.png" Type="http://schemas.openxmlformats.org/officeDocument/2006/relationships/image"/><Relationship Id="rId196" Target="media/5dcfd62c280437311370e2954585046c9358c7f0.png" Type="http://schemas.openxmlformats.org/officeDocument/2006/relationships/image"/><Relationship Id="rId197" Target="media/d5dff68cef7f5d77fc6cacfad65fbf605a9d073a.png" Type="http://schemas.openxmlformats.org/officeDocument/2006/relationships/image"/><Relationship Id="rId198" Target="media/f874be114b7abe27b8ffab80b8d515e1efcbb34a.png" Type="http://schemas.openxmlformats.org/officeDocument/2006/relationships/image"/><Relationship Id="rId199" Target="media/88fd5e955f77d27d3369d8da44e7bb8647ab70dd.png" Type="http://schemas.openxmlformats.org/officeDocument/2006/relationships/image"/><Relationship Id="rId200" Target="media/75edccbd1dabdd9f05f102278ee118cad7ee9faf.png" Type="http://schemas.openxmlformats.org/officeDocument/2006/relationships/image"/><Relationship Id="rId201" Target="media/850ef6aa05c74447d838e525cdba2a5fc9dff920.png" Type="http://schemas.openxmlformats.org/officeDocument/2006/relationships/image"/><Relationship Id="rId202" Target="media/a52102a1b5ba718b85dde308a42dc413702209da.png" Type="http://schemas.openxmlformats.org/officeDocument/2006/relationships/image"/><Relationship Id="rId203" Target="media/0387ddb538a75faf3a5d9222e11b6ee053fe2094.png" Type="http://schemas.openxmlformats.org/officeDocument/2006/relationships/image"/><Relationship Id="rId204" Target="media/3f21923d0500c9882b696bf4c4cf6d35482aaf16.png" Type="http://schemas.openxmlformats.org/officeDocument/2006/relationships/image"/><Relationship Id="rId205" Target="media/e48f8ad27f65f10da9448b0b5d8b31c8c6afc0a5.png" Type="http://schemas.openxmlformats.org/officeDocument/2006/relationships/image"/><Relationship Id="rId206" Target="media/46161336aaa1fe5c9897d21eb406368b1b89664a.png" Type="http://schemas.openxmlformats.org/officeDocument/2006/relationships/image"/><Relationship Id="rId207" Target="media/f700317ec38426027e3b8f10f2b3c138ab56527f.png" Type="http://schemas.openxmlformats.org/officeDocument/2006/relationships/image"/><Relationship Id="rId208" Target="media/72039dc6389f2d0fee3b25c0e45322dd6c7d8aab.png" Type="http://schemas.openxmlformats.org/officeDocument/2006/relationships/image"/><Relationship Id="rId209" Target="media/dd26119acf80ffcc1d3c737b9abdc6478f03df0d.png" Type="http://schemas.openxmlformats.org/officeDocument/2006/relationships/image"/><Relationship Id="rId210" Target="media/88d2713b7e058f7992f2b3626227bef5553f3cc6.png" Type="http://schemas.openxmlformats.org/officeDocument/2006/relationships/image"/><Relationship Id="rId211" Target="media/8ca6d23550b824cb4b79c9cff2f0aca0ead6accf.png" Type="http://schemas.openxmlformats.org/officeDocument/2006/relationships/image"/><Relationship Id="rId212" Target="media/e90f0b11d82776a017dfef3fc427e27ac905d4bc.png" Type="http://schemas.openxmlformats.org/officeDocument/2006/relationships/image"/><Relationship Id="rId213" Target="media/a292a42ae8ffa10da3021466078307dc919edec2.png" Type="http://schemas.openxmlformats.org/officeDocument/2006/relationships/image"/><Relationship Id="rId214" Target="media/cef42b92b2fe3edd58c1662453c3d3306c50568a.png" Type="http://schemas.openxmlformats.org/officeDocument/2006/relationships/image"/><Relationship Id="rId215" Target="media/c8cfd1df502e1c40b5804f2ec5a8c1af153ecaf9.png" Type="http://schemas.openxmlformats.org/officeDocument/2006/relationships/image"/><Relationship Id="rId216" Target="media/ceda61ddb7dc70f609f54601d4aa4ba105cf9c52.png" Type="http://schemas.openxmlformats.org/officeDocument/2006/relationships/image"/><Relationship Id="rId217" Target="media/3876456d44ba9b23808d1d3561b12c2be2cd807d.png" Type="http://schemas.openxmlformats.org/officeDocument/2006/relationships/image"/><Relationship Id="rId218" Target="media/da99c5f5420c67ffba6f5d058f678640bda9a31b.png" Type="http://schemas.openxmlformats.org/officeDocument/2006/relationships/image"/><Relationship Id="rId219" Target="media/33009da2db2f0ea1f2fc7614f45f271f2d23c11c.png" Type="http://schemas.openxmlformats.org/officeDocument/2006/relationships/image"/><Relationship Id="rId220" Target="media/5320e7d0b92d11012c9ccd17926961d4a4bee897.png" Type="http://schemas.openxmlformats.org/officeDocument/2006/relationships/image"/><Relationship Id="rId221" Target="media/a2316d5b11ab5b31a5a9966d7ba884fac38c1265.png" Type="http://schemas.openxmlformats.org/officeDocument/2006/relationships/image"/><Relationship Id="rId222" Target="media/6079310665d3ec6b15530441b6fd27cf6232cd22.png" Type="http://schemas.openxmlformats.org/officeDocument/2006/relationships/image"/><Relationship Id="rId223" Target="media/a34c5c335e1eea830c4aba924780d8451d823039.png" Type="http://schemas.openxmlformats.org/officeDocument/2006/relationships/image"/><Relationship Id="rId224" Target="media/9027e8c868cb1d36583a253bde8bc5b3dae5599e.png" Type="http://schemas.openxmlformats.org/officeDocument/2006/relationships/image"/><Relationship Id="rId225" Target="media/99b000406adab1971414a23c9fb9360fb2eef475.png" Type="http://schemas.openxmlformats.org/officeDocument/2006/relationships/image"/><Relationship Id="rId226" Target="media/3b77f71fa87b646444064b766ef89c650cbd3a2e.png" Type="http://schemas.openxmlformats.org/officeDocument/2006/relationships/image"/><Relationship Id="rId227" Target="media/cf8da8baf689a174df57c4d380656786e7efe350.png" Type="http://schemas.openxmlformats.org/officeDocument/2006/relationships/image"/><Relationship Id="rId228" Target="media/253dfc1d33a67d27d305b7b1bb3f9b850df4e1c4.png" Type="http://schemas.openxmlformats.org/officeDocument/2006/relationships/image"/><Relationship Id="rId229" Target="media/c002b30933731060b7329218aa08baace7de5b84.png" Type="http://schemas.openxmlformats.org/officeDocument/2006/relationships/image"/><Relationship Id="rId230" Target="media/1185236717511172c0368365020a844e1ef22cb3.png" Type="http://schemas.openxmlformats.org/officeDocument/2006/relationships/image"/><Relationship Id="rId231" Target="media/012dc85c90bd9c1f6e289bfc4b802f05148533d8.png" Type="http://schemas.openxmlformats.org/officeDocument/2006/relationships/image"/><Relationship Id="rId232" Target="media/5cc340de433f24afca0fc97a54c360c22adb9547.png" Type="http://schemas.openxmlformats.org/officeDocument/2006/relationships/image"/><Relationship Id="rId233" Target="media/6d98cda7354c574dd8c628403e842ddabe39743a.png" Type="http://schemas.openxmlformats.org/officeDocument/2006/relationships/image"/><Relationship Id="rId234" Target="media/4c7a846fa8aa7fca3e04c9f34bc7999a8ff338de.png" Type="http://schemas.openxmlformats.org/officeDocument/2006/relationships/image"/><Relationship Id="rId235" Target="media/5ab5dce138e136ad1f50b9018c266d193d440dc5.png" Type="http://schemas.openxmlformats.org/officeDocument/2006/relationships/image"/><Relationship Id="rId236" Target="media/73c62cce5b4ce05e4bc61761d5a0f0c55383dd33.png" Type="http://schemas.openxmlformats.org/officeDocument/2006/relationships/image"/><Relationship Id="rId237" Target="media/7fa5922cae2d4a0a3e530ecf3e9762ed89aa8a33.png" Type="http://schemas.openxmlformats.org/officeDocument/2006/relationships/image"/><Relationship Id="rId238" Target="media/3049647d6c1e0fc22a08f7b7ff5ec90e142c3937.png" Type="http://schemas.openxmlformats.org/officeDocument/2006/relationships/image"/><Relationship Id="rId239" Target="media/bbdfdd997fbc407477f3cde0be304b64fe1261ee.png" Type="http://schemas.openxmlformats.org/officeDocument/2006/relationships/image"/><Relationship Id="rId240" Target="media/818fa4282922ea543584a790d1f4091b5f457621.png" Type="http://schemas.openxmlformats.org/officeDocument/2006/relationships/image"/><Relationship Id="rId241" Target="media/e7bd9cb9efaa8c86c34594fb3a0349dc54bd38fa.png" Type="http://schemas.openxmlformats.org/officeDocument/2006/relationships/image"/><Relationship Id="rId242" Target="media/78905924507a058b631ca8df57244ede084fe1de.png" Type="http://schemas.openxmlformats.org/officeDocument/2006/relationships/image"/><Relationship Id="rId243" Target="media/f44b45c7f54b9dcf93165727472834e5db074db8.png" Type="http://schemas.openxmlformats.org/officeDocument/2006/relationships/image"/><Relationship Id="rId244" Target="media/83dc32318da747d75f83d3db2042d22203aef718.png" Type="http://schemas.openxmlformats.org/officeDocument/2006/relationships/image"/><Relationship Id="rId245" Target="media/3ed5d59b43a3e22f82603bac8c25e69a83a88a35.png" Type="http://schemas.openxmlformats.org/officeDocument/2006/relationships/image"/><Relationship Id="rId246" Target="media/5edd283dfab5863e204d839239197a35ff9b2de9.png" Type="http://schemas.openxmlformats.org/officeDocument/2006/relationships/image"/><Relationship Id="rId247" Target="media/b752323eb06ec2f731295efcb3d30e782a26ff12.png" Type="http://schemas.openxmlformats.org/officeDocument/2006/relationships/image"/><Relationship Id="rId248" Target="media/70472a846834fb7d38c62ec9bfc7ad3ab2a09dc4.png" Type="http://schemas.openxmlformats.org/officeDocument/2006/relationships/image"/><Relationship Id="rId249" Target="media/644c126bd411643e0055fcc7b9e57a48d68d18fb.png" Type="http://schemas.openxmlformats.org/officeDocument/2006/relationships/image"/><Relationship Id="rId250" Target="media/50f0bfdbb2d448ec93d133d6316c99a8c46b273c.png" Type="http://schemas.openxmlformats.org/officeDocument/2006/relationships/image"/><Relationship Id="rId251" Target="media/0aa17e88f44e1e63e96df26fb552938cfe7a1fb0.png" Type="http://schemas.openxmlformats.org/officeDocument/2006/relationships/image"/><Relationship Id="rId252" Target="media/9e43ed91368c0a157409e5fba944976916516ed2.png" Type="http://schemas.openxmlformats.org/officeDocument/2006/relationships/image"/><Relationship Id="rId253" Target="media/09683a216ab8176477e64a0d2a62873e032de727.png" Type="http://schemas.openxmlformats.org/officeDocument/2006/relationships/image"/><Relationship Id="rId254" Target="media/48007235b72c23805abcf9a525964569625a62af.png" Type="http://schemas.openxmlformats.org/officeDocument/2006/relationships/image"/><Relationship Id="rId255" Target="media/f7064d2a48f405e9230781aad1091d977ed0c4f2.png" Type="http://schemas.openxmlformats.org/officeDocument/2006/relationships/image"/><Relationship Id="rId256" Target="media/8b773541aedb09df71ed4ef758d353b2f45362ac.png" Type="http://schemas.openxmlformats.org/officeDocument/2006/relationships/image"/><Relationship Id="rId257" Target="media/2d71cf5af4272bb87a2f65280bdaff4df77a6a1a.png" Type="http://schemas.openxmlformats.org/officeDocument/2006/relationships/image"/><Relationship Id="rId258" Target="media/036857c03df7b8d623d057093e58e47468c9124f.png" Type="http://schemas.openxmlformats.org/officeDocument/2006/relationships/image"/><Relationship Id="rId259" Target="media/e56ede6e62403fd1e49c433e603f14cdca348ac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