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7.1</w:t>
      </w:r>
    </w:p>
    <w:p>
      <w:pPr>
        <w:spacing w:after="8"/>
      </w:pPr>
      <w:r>
        <w:rPr>
          <w:color w:val="23265A"/>
          <w:sz w:val="22"/>
          <w:szCs w:val="22"/>
        </w:rPr>
        <w:t xml:space="preserve">Which goods belong in inventory?</w:t>
      </w:r>
    </w:p>
    <w:p>
      <w:pPr>
        <w:spacing w:after="130"/>
      </w:pPr>
      <w:r>
        <w:rPr>
          <w:color w:val="6B7280"/>
          <w:sz w:val="20"/>
          <w:szCs w:val="20"/>
        </w:rPr>
        <w:t xml:space="preserve">section 7.1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76"/>
        <w:gridCol w:w="2532"/>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81"/>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319"/>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81"/>
            <w:tcMar>
              <w:top w:type="dxa" w:w="50"/>
              <w:left w:type="dxa" w:w="110"/>
              <w:bottom w:type="dxa" w:w="50"/>
              <w:right w:type="dxa" w:w="110"/>
            </w:tcMar>
          </w:tcPr>
          <w:p>
            <w:pPr>
              <w:spacing w:before="26" w:after="26"/>
            </w:pPr>
            <w:r>
              <w:rPr>
                <w:color w:val="232733"/>
                <w:sz w:val="16"/>
                <w:szCs w:val="16"/>
              </w:rPr>
              <w:t xml:space="preserve">Which goods belong in inventory?</w:t>
            </w:r>
          </w:p>
        </w:tc>
        <w:tc>
          <w:tcPr>
            <w:tcW w:type="pct" w:w="1319"/>
            <w:tcMar>
              <w:top w:type="dxa" w:w="50"/>
              <w:left w:type="dxa" w:w="110"/>
              <w:bottom w:type="dxa" w:w="50"/>
              <w:right w:type="dxa" w:w="110"/>
            </w:tcMar>
          </w:tcPr>
          <w:p>
            <w:pPr>
              <w:spacing w:before="26" w:after="26"/>
            </w:pPr>
            <w:r>
              <w:rPr>
                <w:color w:val="232733"/>
                <w:sz w:val="16"/>
                <w:szCs w:val="16"/>
              </w:rPr>
              <w:t xml:space="preserve">a figure to read · Memo item</w:t>
            </w:r>
          </w:p>
        </w:tc>
        <w:tc>
          <w:tcPr>
            <w:tcW w:type="pct" w:w="2600"/>
            <w:tcMar>
              <w:top w:type="dxa" w:w="50"/>
              <w:left w:type="dxa" w:w="110"/>
              <w:bottom w:type="dxa" w:w="50"/>
              <w:right w:type="dxa" w:w="110"/>
            </w:tcMar>
          </w:tcPr>
          <w:p>
            <w:pPr>
              <w:spacing w:before="26" w:after="26"/>
            </w:pPr>
            <w:r>
              <w:rPr>
                <w:color w:val="232733"/>
                <w:sz w:val="16"/>
                <w:szCs w:val="16"/>
              </w:rPr>
              <w:t xml:space="preserve">A seller ships goods on December 30, FOB destination. The goods arrive on January 2. At December 31, the goods should be:</w:t>
            </w:r>
          </w:p>
        </w:tc>
      </w:tr>
      <w:tr>
        <w:tc>
          <w:tcPr>
            <w:tcW w:type="pct" w:w="1081"/>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319"/>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inventory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goods in transit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normal capacity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consignee   ·   inventory   ·   periodic inventory system   ·   consignment   ·   weighted-average cost   ·   consignor   ·   FOB destination</w:t>
      </w:r>
    </w:p>
    <w:p>
      <w:pPr>
        <w:spacing w:before="36" w:after="36"/>
        <w:ind w:left="300"/>
      </w:pPr>
      <w:r>
        <w:rPr>
          <w:sz w:val="19"/>
          <w:szCs w:val="19"/>
        </w:rPr>
        <w:t xml:space="preserve">Under </w:t>
      </w:r>
      <w:r>
        <w:rPr>
          <w:u w:val="single"/>
          <w:sz w:val="19"/>
          <w:szCs w:val="19"/>
        </w:rPr>
        <w:t xml:space="preserve">                 </w:t>
      </w:r>
      <w:r>
        <w:rPr>
          <w:sz w:val="19"/>
          <w:szCs w:val="19"/>
        </w:rPr>
        <w:t xml:space="preserve">, the seller keeps control until the goods arrive, so the seller includes them. In a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(the owner) gives goods to a </w:t>
      </w:r>
      <w:r>
        <w:rPr>
          <w:u w:val="single"/>
          <w:sz w:val="19"/>
          <w:szCs w:val="19"/>
        </w:rPr>
        <w:t xml:space="preserve">           </w:t>
      </w:r>
      <w:r>
        <w:rPr>
          <w:sz w:val="19"/>
          <w:szCs w:val="19"/>
        </w:rPr>
        <w:t xml:space="preserve">, who sells them for a commission. The goods stay in the consignor's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weighted-average cost   ·   inventory   ·   periodic inventory system   ·   FOB shipping point   ·   FOB destination   ·   goods in transit</w:t>
      </w:r>
    </w:p>
    <w:p>
      <w:pPr>
        <w:spacing w:before="36" w:after="36"/>
        <w:ind w:left="300"/>
      </w:pPr>
      <w:r>
        <w:rPr>
          <w:sz w:val="19"/>
          <w:szCs w:val="19"/>
        </w:rPr>
        <w:t xml:space="preserve">In a bill-and-hold sale, the seller keeps the goods in its </w:t>
      </w:r>
      <w:r>
        <w:rPr>
          <w:u w:val="single"/>
          <w:sz w:val="19"/>
          <w:szCs w:val="19"/>
        </w:rPr>
        <w:t xml:space="preserve">           </w:t>
      </w:r>
      <w:r>
        <w:rPr>
          <w:sz w:val="19"/>
          <w:szCs w:val="19"/>
        </w:rPr>
        <w:t xml:space="preserve"> unless strict conditions show that the buyer already controls them. </w:t>
      </w:r>
      <w:r>
        <w:rPr>
          <w:u w:val="single"/>
          <w:sz w:val="19"/>
          <w:szCs w:val="19"/>
        </w:rPr>
        <w:t xml:space="preserve">                    </w:t>
      </w:r>
      <w:r>
        <w:rPr>
          <w:sz w:val="19"/>
          <w:szCs w:val="19"/>
        </w:rPr>
        <w:t xml:space="preserve">: the BUYER includes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the SELLER includes them.</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consignee   ·   periodic inventory system   ·   FOB shipping point   ·   consignor   ·   consignment   ·   weighted-average cost</w:t>
      </w:r>
    </w:p>
    <w:p>
      <w:pPr>
        <w:spacing w:before="36" w:after="36"/>
        <w:ind w:left="300"/>
      </w:pPr>
      <w:r>
        <w:rPr>
          <w:sz w:val="19"/>
          <w:szCs w:val="19"/>
        </w:rPr>
        <w:t xml:space="preserve">Arabic: البضاعة بالأمانة is </w:t>
      </w:r>
      <w:r>
        <w:rPr>
          <w:u w:val="single"/>
          <w:sz w:val="19"/>
          <w:szCs w:val="19"/>
        </w:rPr>
        <w:t xml:space="preserve">             </w:t>
      </w:r>
      <w:r>
        <w:rPr>
          <w:sz w:val="19"/>
          <w:szCs w:val="19"/>
        </w:rPr>
        <w:t xml:space="preserve">; the owner is the </w:t>
      </w:r>
      <w:r>
        <w:rPr>
          <w:u w:val="single"/>
          <w:sz w:val="19"/>
          <w:szCs w:val="19"/>
        </w:rPr>
        <w:t xml:space="preserve">           </w:t>
      </w:r>
      <w:r>
        <w:rPr>
          <w:sz w:val="19"/>
          <w:szCs w:val="19"/>
        </w:rPr>
        <w:t xml:space="preserve"> (المُرسِل) and the seller in the shop is the </w:t>
      </w:r>
      <w:r>
        <w:rPr>
          <w:u w:val="single"/>
          <w:sz w:val="19"/>
          <w:szCs w:val="19"/>
        </w:rPr>
        <w:t xml:space="preserve">           </w:t>
      </w:r>
      <w:r>
        <w:rPr>
          <w:sz w:val="19"/>
          <w:szCs w:val="19"/>
        </w:rPr>
        <w:t xml:space="preserve"> (المُرسَل إليه). SC7-1 On December 28, a supplier in Türkiye ships glass bottles to Orontes, </w:t>
      </w:r>
      <w:r>
        <w:rPr>
          <w:u w:val="single"/>
          <w:sz w:val="19"/>
          <w:szCs w:val="19"/>
        </w:rPr>
        <w:t xml:space="preserve">                    </w:t>
      </w:r>
      <w:r>
        <w:rPr>
          <w:sz w:val="19"/>
          <w:szCs w:val="19"/>
        </w:rPr>
        <w:t xml:space="preserv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Which goods belong in inventory?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category of M1 (FOB shipping point, bought) as “Add to the count”.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34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3423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Memo 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Memo item</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M1 (FOB shipping point, bought)</w:t>
            </w:r>
          </w:p>
        </w:tc>
        <w:tc>
          <w:tcPr>
            <w:tcW w:type="pct" w:w="2400"/>
            <w:tcMar>
              <w:top w:type="dxa" w:w="50"/>
              <w:left w:type="dxa" w:w="110"/>
              <w:bottom w:type="dxa" w:w="50"/>
              <w:right w:type="dxa" w:w="110"/>
            </w:tcMar>
          </w:tcPr>
          <w:p>
            <w:pPr>
              <w:spacing w:before="26" w:after="26"/>
            </w:pPr>
            <w:r>
              <w:rPr>
                <w:color w:val="232733"/>
                <w:sz w:val="16"/>
                <w:szCs w:val="16"/>
              </w:rPr>
              <w:t xml:space="preserve">Add to the count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M2 (FOB destination, sold)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 to the count</w:t>
            </w:r>
          </w:p>
        </w:tc>
      </w:tr>
      <w:tr>
        <w:tc>
          <w:tcPr>
            <w:tcW w:type="pct" w:w="2600"/>
            <w:tcMar>
              <w:top w:type="dxa" w:w="50"/>
              <w:left w:type="dxa" w:w="110"/>
              <w:bottom w:type="dxa" w:w="50"/>
              <w:right w:type="dxa" w:w="110"/>
            </w:tcMar>
          </w:tcPr>
          <w:p>
            <w:pPr>
              <w:spacing w:before="26" w:after="26"/>
            </w:pPr>
            <w:r>
              <w:rPr>
                <w:color w:val="232733"/>
                <w:sz w:val="16"/>
                <w:szCs w:val="16"/>
              </w:rPr>
              <w:t xml:space="preserve">M3 (held for a Beirut producer)</w:t>
            </w:r>
          </w:p>
        </w:tc>
        <w:tc>
          <w:tcPr>
            <w:tcW w:type="pct" w:w="2400"/>
            <w:tcMar>
              <w:top w:type="dxa" w:w="50"/>
              <w:left w:type="dxa" w:w="110"/>
              <w:bottom w:type="dxa" w:w="50"/>
              <w:right w:type="dxa" w:w="110"/>
            </w:tcMar>
          </w:tcPr>
          <w:p>
            <w:pPr>
              <w:spacing w:before="26" w:after="26"/>
            </w:pPr>
            <w:r>
              <w:rPr>
                <w:color w:val="232733"/>
                <w:sz w:val="16"/>
                <w:szCs w:val="16"/>
              </w:rPr>
              <w:t xml:space="preserve">Subtract from the count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M4 (at a Doha consignee)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 to the count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memo item does the book pair with “Subtract from the count”?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M4 (at a Doha consignee)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M2 (FOB destination, sold)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M1 (FOB shipping point, bought)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M3 (held for a Beirut producer)</w:t>
            </w:r>
          </w:p>
        </w:tc>
      </w:tr>
    </w:tbl>
    <w:p>
      <w:pPr>
        <w:spacing w:before="30" w:after="30"/>
        <w:ind w:left="300" w:hanging="300"/>
      </w:pPr>
      <w:r>
        <w:rPr>
          <w:b/>
          <w:bCs/>
          <w:color w:val="353A7C"/>
          <w:sz w:val="19"/>
          <w:szCs w:val="19"/>
        </w:rPr>
        <w:t xml:space="preserve">6.  </w:t>
      </w:r>
      <w:r>
        <w:rPr>
          <w:sz w:val="19"/>
          <w:szCs w:val="19"/>
        </w:rPr>
        <w:t xml:space="preserve">The book gives the category of M1 (FOB shipping point, bought) as “Add to the count”.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7.  </w:t>
      </w:r>
      <w:r>
        <w:rPr>
          <w:sz w:val="19"/>
          <w:szCs w:val="19"/>
        </w:rPr>
        <w:t xml:space="preserve">The book gives the category of M2 (FOB destination, sold) as “Subtract from the count”.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category. Every item belongs to exactly one group.</w:t>
            </w:r>
          </w:p>
        </w:tc>
      </w:tr>
    </w:tbl>
    <w:p>
      <w:pPr>
        <w:spacing w:before="20" w:after="40"/>
      </w:pPr>
      <w:r>
        <w:rPr>
          <w:color w:val="6B7280"/>
          <w:sz w:val="16"/>
          <w:szCs w:val="16"/>
        </w:rPr>
        <w:t xml:space="preserve">the items:  </w:t>
      </w:r>
      <w:r>
        <w:rPr>
          <w:sz w:val="17"/>
          <w:szCs w:val="17"/>
        </w:rPr>
        <w:t xml:space="preserve">M1 (FOB shipping point, bought)   ·   M2 (FOB destination, sold)   ·   M3 (held for a Beirut producer)   ·   M4 (at a Doha consignee)</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Add to the count</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Subtract from the count</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A seller ships goods on December 30, FOB destination. The goods arrive on January 2. At December 31, the goods should be:</w:t>
      </w:r>
    </w:p>
    <w:p>
      <w:pPr>
        <w:spacing w:after="18"/>
        <w:ind w:left="560" w:hanging="260"/>
      </w:pPr>
      <w:r>
        <w:rPr>
          <w:b/>
          <w:bCs/>
          <w:color w:val="8186EF"/>
          <w:sz w:val="18"/>
          <w:szCs w:val="18"/>
        </w:rPr>
        <w:t xml:space="preserve">A. </w:t>
      </w:r>
      <w:r>
        <w:rPr>
          <w:sz w:val="18"/>
          <w:szCs w:val="18"/>
        </w:rPr>
        <w:t xml:space="preserve">included in the buyer's inventory.</w:t>
      </w:r>
    </w:p>
    <w:p>
      <w:pPr>
        <w:spacing w:after="18"/>
        <w:ind w:left="560" w:hanging="260"/>
      </w:pPr>
      <w:r>
        <w:rPr>
          <w:b/>
          <w:bCs/>
          <w:color w:val="8186EF"/>
          <w:sz w:val="18"/>
          <w:szCs w:val="18"/>
        </w:rPr>
        <w:t xml:space="preserve">B. </w:t>
      </w:r>
      <w:r>
        <w:rPr>
          <w:sz w:val="18"/>
          <w:szCs w:val="18"/>
        </w:rPr>
        <w:t xml:space="preserve">included in the seller's inventory, with no sale recorded yet.</w:t>
      </w:r>
    </w:p>
    <w:p>
      <w:pPr>
        <w:spacing w:after="18"/>
        <w:ind w:left="560" w:hanging="260"/>
      </w:pPr>
      <w:r>
        <w:rPr>
          <w:b/>
          <w:bCs/>
          <w:color w:val="8186EF"/>
          <w:sz w:val="18"/>
          <w:szCs w:val="18"/>
        </w:rPr>
        <w:t xml:space="preserve">C. </w:t>
      </w:r>
      <w:r>
        <w:rPr>
          <w:sz w:val="18"/>
          <w:szCs w:val="18"/>
        </w:rPr>
        <w:t xml:space="preserve">removed from the seller's inventory, with a sale recorded.</w:t>
      </w:r>
    </w:p>
    <w:p>
      <w:pPr>
        <w:spacing w:after="18"/>
        <w:ind w:left="560" w:hanging="260"/>
      </w:pPr>
      <w:r>
        <w:rPr>
          <w:b/>
          <w:bCs/>
          <w:color w:val="8186EF"/>
          <w:sz w:val="18"/>
          <w:szCs w:val="18"/>
        </w:rPr>
        <w:t xml:space="preserve">D. </w:t>
      </w:r>
      <w:r>
        <w:rPr>
          <w:sz w:val="18"/>
          <w:szCs w:val="18"/>
        </w:rPr>
        <w:t xml:space="preserve">excluded from both companies' inventories.</w:t>
      </w:r>
    </w:p>
    <w:p>
      <w:pPr>
        <w:spacing w:before="40" w:after="16"/>
        <w:ind w:left="300" w:hanging="300"/>
      </w:pPr>
      <w:r>
        <w:rPr>
          <w:b/>
          <w:bCs/>
          <w:color w:val="353A7C"/>
          <w:sz w:val="19"/>
          <w:szCs w:val="19"/>
        </w:rPr>
        <w:t xml:space="preserve">11.  </w:t>
      </w:r>
      <w:r>
        <w:rPr>
          <w:sz w:val="19"/>
          <w:szCs w:val="19"/>
        </w:rPr>
        <w:t xml:space="preserve">A strike cut production far below normal capacity. How should the fixed production overhead that was not allocated to units be treated?</w:t>
      </w:r>
    </w:p>
    <w:p>
      <w:pPr>
        <w:spacing w:after="18"/>
        <w:ind w:left="560" w:hanging="260"/>
      </w:pPr>
      <w:r>
        <w:rPr>
          <w:b/>
          <w:bCs/>
          <w:color w:val="8186EF"/>
          <w:sz w:val="18"/>
          <w:szCs w:val="18"/>
        </w:rPr>
        <w:t xml:space="preserve">A. </w:t>
      </w:r>
      <w:r>
        <w:rPr>
          <w:sz w:val="18"/>
          <w:szCs w:val="18"/>
        </w:rPr>
        <w:t xml:space="preserve">As an expense of the period</w:t>
      </w:r>
    </w:p>
    <w:p>
      <w:pPr>
        <w:spacing w:after="18"/>
        <w:ind w:left="560" w:hanging="260"/>
      </w:pPr>
      <w:r>
        <w:rPr>
          <w:b/>
          <w:bCs/>
          <w:color w:val="8186EF"/>
          <w:sz w:val="18"/>
          <w:szCs w:val="18"/>
        </w:rPr>
        <w:t xml:space="preserve">B. </w:t>
      </w:r>
      <w:r>
        <w:rPr>
          <w:sz w:val="18"/>
          <w:szCs w:val="18"/>
        </w:rPr>
        <w:t xml:space="preserve">Added to the cost of the units produced</w:t>
      </w:r>
    </w:p>
    <w:p>
      <w:pPr>
        <w:spacing w:after="18"/>
        <w:ind w:left="560" w:hanging="260"/>
      </w:pPr>
      <w:r>
        <w:rPr>
          <w:b/>
          <w:bCs/>
          <w:color w:val="8186EF"/>
          <w:sz w:val="18"/>
          <w:szCs w:val="18"/>
        </w:rPr>
        <w:t xml:space="preserve">C. </w:t>
      </w:r>
      <w:r>
        <w:rPr>
          <w:sz w:val="18"/>
          <w:szCs w:val="18"/>
        </w:rPr>
        <w:t xml:space="preserve">Deferred as an asset to next year</w:t>
      </w:r>
    </w:p>
    <w:p>
      <w:pPr>
        <w:spacing w:after="18"/>
        <w:ind w:left="560" w:hanging="260"/>
      </w:pPr>
      <w:r>
        <w:rPr>
          <w:b/>
          <w:bCs/>
          <w:color w:val="8186EF"/>
          <w:sz w:val="18"/>
          <w:szCs w:val="18"/>
        </w:rPr>
        <w:t xml:space="preserve">D. </w:t>
      </w:r>
      <w:r>
        <w:rPr>
          <w:sz w:val="18"/>
          <w:szCs w:val="18"/>
        </w:rPr>
        <w:t xml:space="preserve">Charged directly to retained earnings</w:t>
      </w:r>
    </w:p>
    <w:p>
      <w:pPr>
        <w:spacing w:before="40" w:after="16"/>
        <w:ind w:left="300" w:hanging="300"/>
      </w:pPr>
      <w:r>
        <w:rPr>
          <w:b/>
          <w:bCs/>
          <w:color w:val="353A7C"/>
          <w:sz w:val="19"/>
          <w:szCs w:val="19"/>
        </w:rPr>
        <w:t xml:space="preserve">12.  </w:t>
      </w:r>
      <w:r>
        <w:rPr>
          <w:sz w:val="19"/>
          <w:szCs w:val="19"/>
        </w:rPr>
        <w:t xml:space="preserve">Which item is a period cost for Orontes?</w:t>
      </w:r>
    </w:p>
    <w:p>
      <w:pPr>
        <w:spacing w:after="18"/>
        <w:ind w:left="560" w:hanging="260"/>
      </w:pPr>
      <w:r>
        <w:rPr>
          <w:b/>
          <w:bCs/>
          <w:color w:val="8186EF"/>
          <w:sz w:val="18"/>
          <w:szCs w:val="18"/>
        </w:rPr>
        <w:t xml:space="preserve">A. </w:t>
      </w:r>
      <w:r>
        <w:rPr>
          <w:sz w:val="18"/>
          <w:szCs w:val="18"/>
        </w:rPr>
        <w:t xml:space="preserve">Import duties on sesame seeds</w:t>
      </w:r>
    </w:p>
    <w:p>
      <w:pPr>
        <w:spacing w:after="18"/>
        <w:ind w:left="560" w:hanging="260"/>
      </w:pPr>
      <w:r>
        <w:rPr>
          <w:b/>
          <w:bCs/>
          <w:color w:val="8186EF"/>
          <w:sz w:val="18"/>
          <w:szCs w:val="18"/>
        </w:rPr>
        <w:t xml:space="preserve">B. </w:t>
      </w:r>
      <w:r>
        <w:rPr>
          <w:sz w:val="18"/>
          <w:szCs w:val="18"/>
        </w:rPr>
        <w:t xml:space="preserve">Freight-in on glass bottles</w:t>
      </w:r>
    </w:p>
    <w:p>
      <w:pPr>
        <w:spacing w:after="18"/>
        <w:ind w:left="560" w:hanging="260"/>
      </w:pPr>
      <w:r>
        <w:rPr>
          <w:b/>
          <w:bCs/>
          <w:color w:val="8186EF"/>
          <w:sz w:val="18"/>
          <w:szCs w:val="18"/>
        </w:rPr>
        <w:t xml:space="preserve">C. </w:t>
      </w:r>
      <w:r>
        <w:rPr>
          <w:sz w:val="18"/>
          <w:szCs w:val="18"/>
        </w:rPr>
        <w:t xml:space="preserve">Wages of bottling-line workers</w:t>
      </w:r>
    </w:p>
    <w:p>
      <w:pPr>
        <w:spacing w:after="18"/>
        <w:ind w:left="560" w:hanging="260"/>
      </w:pPr>
      <w:r>
        <w:rPr>
          <w:b/>
          <w:bCs/>
          <w:color w:val="8186EF"/>
          <w:sz w:val="18"/>
          <w:szCs w:val="18"/>
        </w:rPr>
        <w:t xml:space="preserve">D. </w:t>
      </w:r>
      <w:r>
        <w:rPr>
          <w:sz w:val="18"/>
          <w:szCs w:val="18"/>
        </w:rPr>
        <w:t xml:space="preserve">Advertising for a new tahini brand</w:t>
      </w:r>
    </w:p>
    <w:p>
      <w:pPr>
        <w:spacing w:before="40" w:after="16"/>
        <w:ind w:left="300" w:hanging="300"/>
      </w:pPr>
      <w:r>
        <w:rPr>
          <w:b/>
          <w:bCs/>
          <w:color w:val="353A7C"/>
          <w:sz w:val="19"/>
          <w:szCs w:val="19"/>
        </w:rPr>
        <w:t xml:space="preserve">13.  </w:t>
      </w:r>
      <w:r>
        <w:rPr>
          <w:sz w:val="19"/>
          <w:szCs w:val="19"/>
        </w:rPr>
        <w:t xml:space="preserve">Which statement about periodic and perpetual systems is TRUE?</w:t>
      </w:r>
    </w:p>
    <w:p>
      <w:pPr>
        <w:spacing w:after="18"/>
        <w:ind w:left="560" w:hanging="260"/>
      </w:pPr>
      <w:r>
        <w:rPr>
          <w:b/>
          <w:bCs/>
          <w:color w:val="8186EF"/>
          <w:sz w:val="18"/>
          <w:szCs w:val="18"/>
        </w:rPr>
        <w:t xml:space="preserve">A. </w:t>
      </w:r>
      <w:r>
        <w:rPr>
          <w:sz w:val="18"/>
          <w:szCs w:val="18"/>
        </w:rPr>
        <w:t xml:space="preserve">LIFO gives the same cost of goods sold under both systems.</w:t>
      </w:r>
    </w:p>
    <w:p>
      <w:pPr>
        <w:spacing w:after="18"/>
        <w:ind w:left="560" w:hanging="260"/>
      </w:pPr>
      <w:r>
        <w:rPr>
          <w:b/>
          <w:bCs/>
          <w:color w:val="8186EF"/>
          <w:sz w:val="18"/>
          <w:szCs w:val="18"/>
        </w:rPr>
        <w:t xml:space="preserve">B. </w:t>
      </w:r>
      <w:r>
        <w:rPr>
          <w:sz w:val="18"/>
          <w:szCs w:val="18"/>
        </w:rPr>
        <w:t xml:space="preserve">The moving average always equals the periodic weighted average.</w:t>
      </w:r>
    </w:p>
    <w:p>
      <w:pPr>
        <w:spacing w:after="18"/>
        <w:ind w:left="560" w:hanging="260"/>
      </w:pPr>
      <w:r>
        <w:rPr>
          <w:b/>
          <w:bCs/>
          <w:color w:val="8186EF"/>
          <w:sz w:val="18"/>
          <w:szCs w:val="18"/>
        </w:rPr>
        <w:t xml:space="preserve">C. </w:t>
      </w:r>
      <w:r>
        <w:rPr>
          <w:sz w:val="18"/>
          <w:szCs w:val="18"/>
        </w:rPr>
        <w:t xml:space="preserve">FIFO gives the same cost of goods sold under both systems.</w:t>
      </w:r>
    </w:p>
    <w:p>
      <w:pPr>
        <w:spacing w:after="18"/>
        <w:ind w:left="560" w:hanging="260"/>
      </w:pPr>
      <w:r>
        <w:rPr>
          <w:b/>
          <w:bCs/>
          <w:color w:val="8186EF"/>
          <w:sz w:val="18"/>
          <w:szCs w:val="18"/>
        </w:rPr>
        <w:t xml:space="preserve">D. </w:t>
      </w:r>
      <w:r>
        <w:rPr>
          <w:sz w:val="18"/>
          <w:szCs w:val="18"/>
        </w:rPr>
        <w:t xml:space="preserve">A perpetual system requires specific identification.</w:t>
      </w:r>
    </w:p>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A seller ships goods on December 30, FOB destination. The goods arrive on January 2. At December 31, the goods should be:</w:t>
            </w:r>
          </w:p>
          <w:p>
            <w:pPr>
              <w:spacing w:after="16"/>
              <w:ind w:left="500" w:hanging="200"/>
            </w:pPr>
            <w:r>
              <w:rPr>
                <w:b/>
                <w:bCs/>
                <w:color w:val="8186EF"/>
                <w:sz w:val="18"/>
                <w:szCs w:val="18"/>
              </w:rPr>
              <w:t xml:space="preserve">A. </w:t>
            </w:r>
            <w:r>
              <w:rPr>
                <w:sz w:val="18"/>
                <w:szCs w:val="18"/>
              </w:rPr>
              <w:t xml:space="preserve">included in the buyer's inventory.</w:t>
            </w:r>
          </w:p>
          <w:p>
            <w:pPr>
              <w:spacing w:after="16"/>
              <w:ind w:left="500" w:hanging="200"/>
            </w:pPr>
            <w:r>
              <w:rPr>
                <w:b/>
                <w:bCs/>
                <w:color w:val="8186EF"/>
                <w:sz w:val="18"/>
                <w:szCs w:val="18"/>
              </w:rPr>
              <w:t xml:space="preserve">B. </w:t>
            </w:r>
            <w:r>
              <w:rPr>
                <w:sz w:val="18"/>
                <w:szCs w:val="18"/>
              </w:rPr>
              <w:t xml:space="preserve">included in the seller's inventory, with no sale recorded yet.</w:t>
            </w:r>
          </w:p>
          <w:p>
            <w:pPr>
              <w:spacing w:after="16"/>
              <w:ind w:left="500" w:hanging="200"/>
            </w:pPr>
            <w:r>
              <w:rPr>
                <w:b/>
                <w:bCs/>
                <w:color w:val="8186EF"/>
                <w:sz w:val="18"/>
                <w:szCs w:val="18"/>
              </w:rPr>
              <w:t xml:space="preserve">C. </w:t>
            </w:r>
            <w:r>
              <w:rPr>
                <w:sz w:val="18"/>
                <w:szCs w:val="18"/>
              </w:rPr>
              <w:t xml:space="preserve">removed from the seller's inventory, with a sale recorded.</w:t>
            </w:r>
          </w:p>
          <w:p>
            <w:pPr>
              <w:spacing w:after="16"/>
              <w:ind w:left="500" w:hanging="200"/>
            </w:pPr>
            <w:r>
              <w:rPr>
                <w:b/>
                <w:bCs/>
                <w:color w:val="8186EF"/>
                <w:sz w:val="18"/>
                <w:szCs w:val="18"/>
              </w:rPr>
              <w:t xml:space="preserve">D. </w:t>
            </w:r>
            <w:r>
              <w:rPr>
                <w:sz w:val="18"/>
                <w:szCs w:val="18"/>
              </w:rPr>
              <w:t xml:space="preserve">excluded from both companies' inventories.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15.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المتوسط المرجح للتكلفة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بضاعة في الطريق</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المُرسَل إليه (الوكيل بالعمولة)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المخزون</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الطاقة العادية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التحديد العيني (التمييز المحدد)</w:t>
            </w:r>
          </w:p>
        </w:tc>
      </w:tr>
    </w:tbl>
    <w:p/>
    <w:p>
      <w:pPr>
        <w:spacing w:before="24" w:after="24"/>
        <w:ind w:left="300" w:hanging="300"/>
      </w:pPr>
      <w:r>
        <w:rPr>
          <w:b/>
          <w:bCs/>
          <w:color w:val="353A7C"/>
          <w:sz w:val="18"/>
          <w:szCs w:val="18"/>
        </w:rPr>
        <w:t xml:space="preserve">16.  </w:t>
      </w:r>
      <w:r>
        <w:rPr>
          <w:sz w:val="18"/>
          <w:szCs w:val="18"/>
        </w:rPr>
        <w:t xml:space="preserve">specific identification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goods in transit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inventory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weighted-average cost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normal capacity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consignee</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22.  </w:t>
      </w:r>
      <w:r>
        <w:rPr>
          <w:sz w:val="19"/>
          <w:szCs w:val="19"/>
        </w:rPr>
        <w:t xml:space="preserve">In the Orontes olive-oil example, what is FIFO cost of goods sold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279,000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272,000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288,000</w:t>
            </w:r>
          </w:p>
        </w:tc>
      </w:tr>
    </w:tbl>
    <w:p>
      <w:pPr>
        <w:spacing w:before="40" w:after="16"/>
        <w:ind w:left="300" w:hanging="300"/>
      </w:pPr>
      <w:r>
        <w:rPr>
          <w:b/>
          <w:bCs/>
          <w:color w:val="353A7C"/>
          <w:sz w:val="19"/>
          <w:szCs w:val="19"/>
        </w:rPr>
        <w:t xml:space="preserve">23.  </w:t>
      </w:r>
      <w:r>
        <w:rPr>
          <w:sz w:val="19"/>
          <w:szCs w:val="19"/>
        </w:rPr>
        <w:t xml:space="preserve">Beginning inventory was 100 units at $10. The company bought 200 units at $12 and then 100 units at $15. It sold 250 units. Using periodic LIFO, what is ending inventory?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1,600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2,100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1,838</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3,300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figure from this handout. Label every part and fill in every box.</w:t>
      </w:r>
    </w:p>
    <w:p>
      <w:pPr>
        <w:spacing w:after="40" w:before="90"/>
        <w:jc w:val="center"/>
      </w:pPr>
      <w:r>
        <w:drawing>
          <wp:inline distT="0" distB="0" distL="0" distR="0">
            <wp:extent cx="5734050" cy="334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3423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inventory  ·  weighted-average cost  ·  goods in transit  ·  consignee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7.2</w:t>
      </w:r>
    </w:p>
    <w:p>
      <w:pPr>
        <w:spacing w:after="8"/>
      </w:pPr>
      <w:r>
        <w:rPr>
          <w:color w:val="23265A"/>
          <w:sz w:val="22"/>
          <w:szCs w:val="22"/>
        </w:rPr>
        <w:t xml:space="preserve">Which costs belong in inventory?</w:t>
      </w:r>
    </w:p>
    <w:p>
      <w:pPr>
        <w:spacing w:after="130"/>
      </w:pPr>
      <w:r>
        <w:rPr>
          <w:color w:val="6B7280"/>
          <w:sz w:val="20"/>
          <w:szCs w:val="20"/>
        </w:rPr>
        <w:t xml:space="preserve">section 7.2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73"/>
        <w:gridCol w:w="3127"/>
        <w:gridCol w:w="430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3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62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4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32"/>
            <w:tcMar>
              <w:top w:type="dxa" w:w="50"/>
              <w:left w:type="dxa" w:w="110"/>
              <w:bottom w:type="dxa" w:w="50"/>
              <w:right w:type="dxa" w:w="110"/>
            </w:tcMar>
          </w:tcPr>
          <w:p>
            <w:pPr>
              <w:spacing w:before="26" w:after="26"/>
            </w:pPr>
            <w:r>
              <w:rPr>
                <w:color w:val="232733"/>
                <w:sz w:val="16"/>
                <w:szCs w:val="16"/>
              </w:rPr>
              <w:t xml:space="preserve">Which costs belong in inventory?</w:t>
            </w:r>
          </w:p>
        </w:tc>
        <w:tc>
          <w:tcPr>
            <w:tcW w:type="pct" w:w="1628"/>
            <w:tcMar>
              <w:top w:type="dxa" w:w="50"/>
              <w:left w:type="dxa" w:w="110"/>
              <w:bottom w:type="dxa" w:w="50"/>
              <w:right w:type="dxa" w:w="110"/>
            </w:tcMar>
          </w:tcPr>
          <w:p>
            <w:pPr>
              <w:spacing w:before="26" w:after="26"/>
            </w:pPr>
            <w:r>
              <w:rPr>
                <w:color w:val="232733"/>
                <w:sz w:val="16"/>
                <w:szCs w:val="16"/>
              </w:rPr>
              <w:t xml:space="preserve">a figure to read · Item · the book’s own rule, gapped</w:t>
            </w:r>
          </w:p>
        </w:tc>
        <w:tc>
          <w:tcPr>
            <w:tcW w:type="pct" w:w="2240"/>
            <w:tcMar>
              <w:top w:type="dxa" w:w="50"/>
              <w:left w:type="dxa" w:w="110"/>
              <w:bottom w:type="dxa" w:w="50"/>
              <w:right w:type="dxa" w:w="110"/>
            </w:tcMar>
          </w:tcPr>
          <w:p>
            <w:pPr>
              <w:spacing w:before="26" w:after="26"/>
            </w:pPr>
            <w:r>
              <w:rPr>
                <w:color w:val="232733"/>
                <w:sz w:val="16"/>
                <w:szCs w:val="16"/>
              </w:rPr>
              <w:t xml:space="preserve">Specific identification is MOST appropriate for:</w:t>
            </w:r>
          </w:p>
        </w:tc>
      </w:tr>
      <w:tr>
        <w:tc>
          <w:tcPr>
            <w:tcW w:type="pct" w:w="1132"/>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628"/>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24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FOB shipping point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physical count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abnormal waste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cost of goods sold   ·   purchase discount   ·   abnormal waste   ·   FOB shipping point   ·   freight-in   ·   inventory</w:t>
      </w:r>
    </w:p>
    <w:p>
      <w:pPr>
        <w:spacing w:before="36" w:after="36"/>
        <w:ind w:left="300"/>
      </w:pPr>
      <w:r>
        <w:rPr>
          <w:sz w:val="19"/>
          <w:szCs w:val="19"/>
        </w:rPr>
        <w:t xml:space="preserve">These are inventoriable costs: they stay in </w:t>
      </w:r>
      <w:r>
        <w:rPr>
          <w:u w:val="single"/>
          <w:sz w:val="19"/>
          <w:szCs w:val="19"/>
        </w:rPr>
        <w:t xml:space="preserve">           </w:t>
      </w:r>
      <w:r>
        <w:rPr>
          <w:sz w:val="19"/>
          <w:szCs w:val="19"/>
        </w:rPr>
        <w:t xml:space="preserve"> as an asset, and they become </w:t>
      </w:r>
      <w:r>
        <w:rPr>
          <w:u w:val="single"/>
          <w:sz w:val="19"/>
          <w:szCs w:val="19"/>
        </w:rPr>
        <w:t xml:space="preserve">                    </w:t>
      </w:r>
      <w:r>
        <w:rPr>
          <w:sz w:val="19"/>
          <w:szCs w:val="19"/>
        </w:rPr>
        <w:t xml:space="preserve"> when the goods are sold. Other costs are period costs: they are expenses in the period in which they occur. For goods that are bought, cost includes the purchase price, </w:t>
      </w:r>
      <w:r>
        <w:rPr>
          <w:u w:val="single"/>
          <w:sz w:val="19"/>
          <w:szCs w:val="19"/>
        </w:rPr>
        <w:t xml:space="preserve">            </w:t>
      </w:r>
      <w:r>
        <w:rPr>
          <w:sz w:val="19"/>
          <w:szCs w:val="19"/>
        </w:rPr>
        <w:t xml:space="preserve">, import duties, non-refundable taxes and handling, less trade discounts and any </w:t>
      </w:r>
      <w:r>
        <w:rPr>
          <w:u w:val="single"/>
          <w:sz w:val="19"/>
          <w:szCs w:val="19"/>
        </w:rPr>
        <w:t xml:space="preserve">                   </w:t>
      </w:r>
      <w:r>
        <w:rPr>
          <w:sz w:val="19"/>
          <w:szCs w:val="19"/>
        </w:rPr>
        <w:t xml:space="preserve"> taken for early payment.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FOB shipping point   ·   Period cost   ·   inventory   ·   freight-out   ·   normal capacity   ·   abnormal waste</w:t>
      </w:r>
    </w:p>
    <w:p>
      <w:pPr>
        <w:spacing w:before="36" w:after="36"/>
        <w:ind w:left="300"/>
      </w:pPr>
      <w:r>
        <w:rPr>
          <w:sz w:val="19"/>
          <w:szCs w:val="19"/>
        </w:rPr>
        <w:t xml:space="preserve">In the same way, </w:t>
      </w:r>
      <w:r>
        <w:rPr>
          <w:u w:val="single"/>
          <w:sz w:val="19"/>
          <w:szCs w:val="19"/>
        </w:rPr>
        <w:t xml:space="preserve">                </w:t>
      </w:r>
      <w:r>
        <w:rPr>
          <w:sz w:val="19"/>
          <w:szCs w:val="19"/>
        </w:rPr>
        <w:t xml:space="preserve"> (unusual spoilage, idle time or extra freight) is an expense, not </w:t>
      </w:r>
      <w:r>
        <w:rPr>
          <w:u w:val="single"/>
          <w:sz w:val="19"/>
          <w:szCs w:val="19"/>
        </w:rPr>
        <w:t xml:space="preserve">           </w:t>
      </w:r>
      <w:r>
        <w:rPr>
          <w:sz w:val="19"/>
          <w:szCs w:val="19"/>
        </w:rPr>
        <w:t xml:space="preserve"> cost. </w:t>
      </w:r>
      <w:r>
        <w:rPr>
          <w:u w:val="single"/>
          <w:sz w:val="19"/>
          <w:szCs w:val="19"/>
        </w:rPr>
        <w:t xml:space="preserve">             </w:t>
      </w:r>
      <w:r>
        <w:rPr>
          <w:sz w:val="19"/>
          <w:szCs w:val="19"/>
        </w:rPr>
        <w:t xml:space="preserve">s include </w:t>
      </w:r>
      <w:r>
        <w:rPr>
          <w:u w:val="single"/>
          <w:sz w:val="19"/>
          <w:szCs w:val="19"/>
        </w:rPr>
        <w:t xml:space="preserve">             </w:t>
      </w:r>
      <w:r>
        <w:rPr>
          <w:sz w:val="19"/>
          <w:szCs w:val="19"/>
        </w:rPr>
        <w:t xml:space="preserve"> to customers, sales commissions, advertising, general and administrative costs, and the storage of finished goods. Interest on inventory that is produced routinely is also a period cost.</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FOB shipping point   ·   abnormal waste   ·   freight-out   ·   Period cost   ·   inventory</w:t>
      </w:r>
    </w:p>
    <w:p>
      <w:pPr>
        <w:spacing w:before="36" w:after="36"/>
        <w:ind w:left="300"/>
      </w:pPr>
      <w:r>
        <w:rPr>
          <w:sz w:val="19"/>
          <w:szCs w:val="19"/>
        </w:rPr>
        <w:t xml:space="preserve"/>
      </w:r>
      <w:r>
        <w:rPr>
          <w:u w:val="single"/>
          <w:sz w:val="19"/>
          <w:szCs w:val="19"/>
        </w:rPr>
        <w:t xml:space="preserve">             </w:t>
      </w:r>
      <w:r>
        <w:rPr>
          <w:sz w:val="19"/>
          <w:szCs w:val="19"/>
        </w:rPr>
        <w:t xml:space="preserve">s include </w:t>
      </w:r>
      <w:r>
        <w:rPr>
          <w:u w:val="single"/>
          <w:sz w:val="19"/>
          <w:szCs w:val="19"/>
        </w:rPr>
        <w:t xml:space="preserve">             </w:t>
      </w:r>
      <w:r>
        <w:rPr>
          <w:sz w:val="19"/>
          <w:szCs w:val="19"/>
        </w:rPr>
        <w:t xml:space="preserve"> to customers, sales commissions, advertising, general and administrative costs, and the storage of finished goods. Interest on </w:t>
      </w:r>
      <w:r>
        <w:rPr>
          <w:u w:val="single"/>
          <w:sz w:val="19"/>
          <w:szCs w:val="19"/>
        </w:rPr>
        <w:t xml:space="preserve">           </w:t>
      </w:r>
      <w:r>
        <w:rPr>
          <w:sz w:val="19"/>
          <w:szCs w:val="19"/>
        </w:rPr>
        <w:t xml:space="preserve"> that is produced routinely is also a period cost. Inventoriable costs versus period costs.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Which costs belong in inventory?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amount of Invoice price as “20,000”.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08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40892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864"/>
        <w:gridCol w:w="374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450"/>
            <w:tcMar>
              <w:top w:type="dxa" w:w="50"/>
              <w:left w:type="dxa" w:w="110"/>
              <w:bottom w:type="dxa" w:w="50"/>
              <w:right w:type="dxa" w:w="110"/>
            </w:tcMar>
          </w:tcPr>
          <w:p>
            <w:pPr>
              <w:spacing w:before="26" w:after="26"/>
            </w:pPr>
            <w:r>
              <w:rPr>
                <w:b/>
                <w:bCs/>
                <w:color w:val="353A7C"/>
                <w:sz w:val="15"/>
                <w:szCs w:val="15"/>
              </w:rPr>
              <w:t xml:space="preserve">Amount</w:t>
            </w:r>
          </w:p>
        </w:tc>
        <w:tc>
          <w:tcPr>
            <w:tcW w:type="pct" w:w="1950"/>
            <w:tcMar>
              <w:top w:type="dxa" w:w="50"/>
              <w:left w:type="dxa" w:w="110"/>
              <w:bottom w:type="dxa" w:w="50"/>
              <w:right w:type="dxa" w:w="110"/>
            </w:tcMar>
          </w:tcPr>
          <w:p>
            <w:pPr>
              <w:spacing w:before="26" w:after="26"/>
            </w:pPr>
            <w:r>
              <w:rPr>
                <w:b/>
                <w:bCs/>
                <w:color w:val="353A7C"/>
                <w:sz w:val="15"/>
                <w:szCs w:val="15"/>
              </w:rPr>
              <w:t xml:space="preserve">Inventory cost?</w:t>
            </w:r>
          </w:p>
        </w:tc>
      </w:tr>
      <w:tr>
        <w:tc>
          <w:tcPr>
            <w:tcW w:type="pct" w:w="2600"/>
            <w:tcMar>
              <w:top w:type="dxa" w:w="50"/>
              <w:left w:type="dxa" w:w="110"/>
              <w:bottom w:type="dxa" w:w="50"/>
              <w:right w:type="dxa" w:w="110"/>
            </w:tcMar>
          </w:tcPr>
          <w:p>
            <w:pPr>
              <w:spacing w:before="26" w:after="26"/>
            </w:pPr>
            <w:r>
              <w:rPr>
                <w:color w:val="232733"/>
                <w:sz w:val="16"/>
                <w:szCs w:val="16"/>
              </w:rPr>
              <w:t xml:space="preserve">Invoice price</w:t>
            </w:r>
          </w:p>
        </w:tc>
        <w:tc>
          <w:tcPr>
            <w:tcW w:type="pct" w:w="450"/>
            <w:tcMar>
              <w:top w:type="dxa" w:w="50"/>
              <w:left w:type="dxa" w:w="110"/>
              <w:bottom w:type="dxa" w:w="50"/>
              <w:right w:type="dxa" w:w="110"/>
            </w:tcMar>
          </w:tcPr>
          <w:p>
            <w:pPr>
              <w:spacing w:before="26" w:after="26"/>
            </w:pPr>
            <w:r>
              <w:rPr>
                <w:color w:val="232733"/>
                <w:sz w:val="16"/>
                <w:szCs w:val="16"/>
              </w:rPr>
              <w:t xml:space="preserve">20,000</w:t>
            </w:r>
          </w:p>
        </w:tc>
        <w:tc>
          <w:tcPr>
            <w:tcW w:type="pct" w:w="1950"/>
            <w:tcMar>
              <w:top w:type="dxa" w:w="50"/>
              <w:left w:type="dxa" w:w="110"/>
              <w:bottom w:type="dxa" w:w="50"/>
              <w:right w:type="dxa" w:w="110"/>
            </w:tcMar>
          </w:tcPr>
          <w:p>
            <w:pPr>
              <w:spacing w:before="26" w:after="26"/>
            </w:pPr>
            <w:r>
              <w:rPr>
                <w:color w:val="232733"/>
                <w:sz w:val="16"/>
                <w:szCs w:val="16"/>
              </w:rPr>
              <w:t xml:space="preserve">Yes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Purchase discount taken</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(400)</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Yes (reduces cost)</w:t>
            </w:r>
          </w:p>
        </w:tc>
      </w:tr>
      <w:tr>
        <w:tc>
          <w:tcPr>
            <w:tcW w:type="pct" w:w="2600"/>
            <w:tcMar>
              <w:top w:type="dxa" w:w="50"/>
              <w:left w:type="dxa" w:w="110"/>
              <w:bottom w:type="dxa" w:w="50"/>
              <w:right w:type="dxa" w:w="110"/>
            </w:tcMar>
          </w:tcPr>
          <w:p>
            <w:pPr>
              <w:spacing w:before="26" w:after="26"/>
            </w:pPr>
            <w:r>
              <w:rPr>
                <w:color w:val="232733"/>
                <w:sz w:val="16"/>
                <w:szCs w:val="16"/>
              </w:rPr>
              <w:t xml:space="preserve">Freight-in from the port to Amman</w:t>
            </w:r>
          </w:p>
        </w:tc>
        <w:tc>
          <w:tcPr>
            <w:tcW w:type="pct" w:w="450"/>
            <w:tcMar>
              <w:top w:type="dxa" w:w="50"/>
              <w:left w:type="dxa" w:w="110"/>
              <w:bottom w:type="dxa" w:w="50"/>
              <w:right w:type="dxa" w:w="110"/>
            </w:tcMar>
          </w:tcPr>
          <w:p>
            <w:pPr>
              <w:spacing w:before="26" w:after="26"/>
            </w:pPr>
            <w:r>
              <w:rPr>
                <w:color w:val="232733"/>
                <w:sz w:val="16"/>
                <w:szCs w:val="16"/>
              </w:rPr>
              <w:t xml:space="preserve">1,200</w:t>
            </w:r>
          </w:p>
        </w:tc>
        <w:tc>
          <w:tcPr>
            <w:tcW w:type="pct" w:w="1950"/>
            <w:tcMar>
              <w:top w:type="dxa" w:w="50"/>
              <w:left w:type="dxa" w:w="110"/>
              <w:bottom w:type="dxa" w:w="50"/>
              <w:right w:type="dxa" w:w="110"/>
            </w:tcMar>
          </w:tcPr>
          <w:p>
            <w:pPr>
              <w:spacing w:before="26" w:after="26"/>
            </w:pPr>
            <w:r>
              <w:rPr>
                <w:color w:val="232733"/>
                <w:sz w:val="16"/>
                <w:szCs w:val="16"/>
              </w:rPr>
              <w:t xml:space="preserve">Yes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Import duty (not refundable)</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900</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Yes</w:t>
            </w:r>
          </w:p>
        </w:tc>
      </w:tr>
      <w:tr>
        <w:tc>
          <w:tcPr>
            <w:tcW w:type="pct" w:w="2600"/>
            <w:tcMar>
              <w:top w:type="dxa" w:w="50"/>
              <w:left w:type="dxa" w:w="110"/>
              <w:bottom w:type="dxa" w:w="50"/>
              <w:right w:type="dxa" w:w="110"/>
            </w:tcMar>
          </w:tcPr>
          <w:p>
            <w:pPr>
              <w:spacing w:before="26" w:after="26"/>
            </w:pPr>
            <w:r>
              <w:rPr>
                <w:color w:val="232733"/>
                <w:sz w:val="16"/>
                <w:szCs w:val="16"/>
              </w:rPr>
              <w:t xml:space="preserve">Insurance while the bottles are in transit</w:t>
            </w:r>
          </w:p>
        </w:tc>
        <w:tc>
          <w:tcPr>
            <w:tcW w:type="pct" w:w="450"/>
            <w:tcMar>
              <w:top w:type="dxa" w:w="50"/>
              <w:left w:type="dxa" w:w="110"/>
              <w:bottom w:type="dxa" w:w="50"/>
              <w:right w:type="dxa" w:w="110"/>
            </w:tcMar>
          </w:tcPr>
          <w:p>
            <w:pPr>
              <w:spacing w:before="26" w:after="26"/>
            </w:pPr>
            <w:r>
              <w:rPr>
                <w:color w:val="232733"/>
                <w:sz w:val="16"/>
                <w:szCs w:val="16"/>
              </w:rPr>
              <w:t xml:space="preserve">300</w:t>
            </w:r>
          </w:p>
        </w:tc>
        <w:tc>
          <w:tcPr>
            <w:tcW w:type="pct" w:w="1950"/>
            <w:tcMar>
              <w:top w:type="dxa" w:w="50"/>
              <w:left w:type="dxa" w:w="110"/>
              <w:bottom w:type="dxa" w:w="50"/>
              <w:right w:type="dxa" w:w="110"/>
            </w:tcMar>
          </w:tcPr>
          <w:p>
            <w:pPr>
              <w:spacing w:before="26" w:after="26"/>
            </w:pPr>
            <w:r>
              <w:rPr>
                <w:color w:val="232733"/>
                <w:sz w:val="16"/>
                <w:szCs w:val="16"/>
              </w:rPr>
              <w:t xml:space="preserve">Yes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Freight-out when filled bottles go to customers</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700</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No: selling expense</w:t>
            </w:r>
          </w:p>
        </w:tc>
      </w:tr>
      <w:tr>
        <w:tc>
          <w:tcPr>
            <w:tcW w:type="pct" w:w="2600"/>
            <w:tcMar>
              <w:top w:type="dxa" w:w="50"/>
              <w:left w:type="dxa" w:w="110"/>
              <w:bottom w:type="dxa" w:w="50"/>
              <w:right w:type="dxa" w:w="110"/>
            </w:tcMar>
          </w:tcPr>
          <w:p>
            <w:pPr>
              <w:spacing w:before="26" w:after="26"/>
            </w:pPr>
            <w:r>
              <w:rPr>
                <w:color w:val="232733"/>
                <w:sz w:val="16"/>
                <w:szCs w:val="16"/>
              </w:rPr>
              <w:t xml:space="preserve">Storage of finished olive oil</w:t>
            </w:r>
          </w:p>
        </w:tc>
        <w:tc>
          <w:tcPr>
            <w:tcW w:type="pct" w:w="450"/>
            <w:tcMar>
              <w:top w:type="dxa" w:w="50"/>
              <w:left w:type="dxa" w:w="110"/>
              <w:bottom w:type="dxa" w:w="50"/>
              <w:right w:type="dxa" w:w="110"/>
            </w:tcMar>
          </w:tcPr>
          <w:p>
            <w:pPr>
              <w:spacing w:before="26" w:after="26"/>
            </w:pPr>
            <w:r>
              <w:rPr>
                <w:color w:val="232733"/>
                <w:sz w:val="16"/>
                <w:szCs w:val="16"/>
              </w:rPr>
              <w:t xml:space="preserve">250</w:t>
            </w:r>
          </w:p>
        </w:tc>
        <w:tc>
          <w:tcPr>
            <w:tcW w:type="pct" w:w="1950"/>
            <w:tcMar>
              <w:top w:type="dxa" w:w="50"/>
              <w:left w:type="dxa" w:w="110"/>
              <w:bottom w:type="dxa" w:w="50"/>
              <w:right w:type="dxa" w:w="110"/>
            </w:tcMar>
          </w:tcPr>
          <w:p>
            <w:pPr>
              <w:spacing w:before="26" w:after="26"/>
            </w:pPr>
            <w:r>
              <w:rPr>
                <w:color w:val="232733"/>
                <w:sz w:val="16"/>
                <w:szCs w:val="16"/>
              </w:rPr>
              <w:t xml:space="preserve">No: period cost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the bottles in inventory</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22,000</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amount does the book give for Invoice price?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22,000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250</w:t>
            </w:r>
          </w:p>
        </w:tc>
      </w:tr>
    </w:tbl>
    <w:p>
      <w:pPr>
        <w:spacing w:before="40" w:after="16"/>
        <w:ind w:left="300" w:hanging="300"/>
      </w:pPr>
      <w:r>
        <w:rPr>
          <w:b/>
          <w:bCs/>
          <w:color w:val="353A7C"/>
          <w:sz w:val="19"/>
          <w:szCs w:val="19"/>
        </w:rPr>
        <w:t xml:space="preserve">6.  </w:t>
      </w:r>
      <w:r>
        <w:rPr>
          <w:sz w:val="19"/>
          <w:szCs w:val="19"/>
        </w:rPr>
        <w:t xml:space="preserve">Which amount does the book give for Purchase discount taken?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700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250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(400)</w:t>
            </w:r>
          </w:p>
        </w:tc>
      </w:tr>
    </w:tbl>
    <w:p>
      <w:pPr>
        <w:spacing w:before="40" w:after="16"/>
        <w:ind w:left="300" w:hanging="300"/>
      </w:pPr>
      <w:r>
        <w:rPr>
          <w:b/>
          <w:bCs/>
          <w:color w:val="353A7C"/>
          <w:sz w:val="19"/>
          <w:szCs w:val="19"/>
        </w:rPr>
        <w:t xml:space="preserve">7.  </w:t>
      </w:r>
      <w:r>
        <w:rPr>
          <w:sz w:val="19"/>
          <w:szCs w:val="19"/>
        </w:rPr>
        <w:t xml:space="preserve">Which amount does the book give for Freight-in from the port to Amman?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22,000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1,200</w:t>
            </w:r>
          </w:p>
        </w:tc>
      </w:tr>
    </w:tbl>
    <w:p>
      <w:pPr>
        <w:spacing w:before="40" w:after="16"/>
        <w:ind w:left="300" w:hanging="300"/>
      </w:pPr>
      <w:r>
        <w:rPr>
          <w:b/>
          <w:bCs/>
          <w:color w:val="353A7C"/>
          <w:sz w:val="19"/>
          <w:szCs w:val="19"/>
        </w:rPr>
        <w:t xml:space="preserve">8.  </w:t>
      </w:r>
      <w:r>
        <w:rPr>
          <w:sz w:val="19"/>
          <w:szCs w:val="19"/>
        </w:rPr>
        <w:t xml:space="preserve">Which amount does the book give for Import duty (not refundable)?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700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1,200</w:t>
            </w:r>
          </w:p>
        </w:tc>
      </w:tr>
    </w:tbl>
    <w:p>
      <w:pPr>
        <w:spacing w:before="30" w:after="30"/>
        <w:ind w:left="300" w:hanging="300"/>
      </w:pPr>
      <w:r>
        <w:rPr>
          <w:b/>
          <w:bCs/>
          <w:color w:val="353A7C"/>
          <w:sz w:val="19"/>
          <w:szCs w:val="19"/>
        </w:rPr>
        <w:t xml:space="preserve">9.  </w:t>
      </w:r>
      <w:r>
        <w:rPr>
          <w:sz w:val="19"/>
          <w:szCs w:val="19"/>
        </w:rPr>
        <w:t xml:space="preserve">The book gives the inventory cost? of Invoice price as “Yes”.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inventory cost? of Purchase discount taken as “Yes”.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11.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inventory  ·  inventoriable cost  ·  cost of goods sold  ·  LIFO reserve</w:t>
            </w:r>
          </w:p>
          <w:p>
            <w:pPr>
              <w:spacing w:before="26" w:after="26"/>
              <w:ind w:left="200"/>
            </w:pPr>
            <w:r>
              <w:rPr>
                <w:sz w:val="19"/>
                <w:szCs w:val="19"/>
              </w:rPr>
              <w:t xml:space="preserve">These are inventoriable costs: they stay in </w:t>
            </w:r>
            <w:r>
              <w:rPr>
                <w:u w:val="single"/>
                <w:sz w:val="19"/>
                <w:szCs w:val="19"/>
              </w:rPr>
              <w:t xml:space="preserve">           </w:t>
            </w:r>
            <w:r>
              <w:rPr>
                <w:sz w:val="19"/>
                <w:szCs w:val="19"/>
              </w:rPr>
              <w:t xml:space="preserve"> as an asset, and they become </w:t>
            </w:r>
            <w:r>
              <w:rPr>
                <w:u w:val="single"/>
                <w:sz w:val="19"/>
                <w:szCs w:val="19"/>
              </w:rPr>
              <w:t xml:space="preserve">                    </w:t>
            </w:r>
            <w:r>
              <w:rPr>
                <w:sz w:val="19"/>
                <w:szCs w:val="19"/>
              </w:rPr>
              <w:t xml:space="preserve"> when the goods are sold.</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Invoice price</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Purchase discount taken</w:t>
            </w:r>
          </w:p>
        </w:tc>
      </w:tr>
      <w:tr>
        <w:tc>
          <w:tcPr>
            <w:tcW w:type="pct" w:w="2500"/>
            <w:tcMar>
              <w:top w:type="dxa" w:w="50"/>
              <w:left w:type="dxa" w:w="110"/>
              <w:bottom w:type="dxa" w:w="50"/>
              <w:right w:type="dxa" w:w="110"/>
            </w:tcMar>
          </w:tcPr>
          <w:p>
            <w:pPr>
              <w:spacing w:before="26" w:after="26"/>
            </w:pPr>
            <w:r>
              <w:rPr>
                <w:sz w:val="16"/>
                <w:szCs w:val="16"/>
              </w:rPr>
              <w:t xml:space="preserve">Amount: 20,000</w:t>
            </w:r>
          </w:p>
        </w:tc>
        <w:tc>
          <w:tcPr>
            <w:tcW w:type="pct" w:w="2500"/>
            <w:tcMar>
              <w:top w:type="dxa" w:w="50"/>
              <w:left w:type="dxa" w:w="110"/>
              <w:bottom w:type="dxa" w:w="50"/>
              <w:right w:type="dxa" w:w="110"/>
            </w:tcMar>
          </w:tcPr>
          <w:p>
            <w:pPr>
              <w:spacing w:before="26" w:after="26"/>
            </w:pPr>
            <w:r>
              <w:rPr>
                <w:sz w:val="16"/>
                <w:szCs w:val="16"/>
              </w:rPr>
              <w:t xml:space="preserve">Amount: (400)</w:t>
            </w:r>
          </w:p>
        </w:tc>
      </w:tr>
    </w:tbl>
    <w:p>
      <w:pPr>
        <w:spacing w:before="36" w:after="16"/>
      </w:pPr>
      <w:r>
        <w:rPr>
          <w:sz w:val="18"/>
          <w:szCs w:val="18"/>
        </w:rPr>
        <w:t xml:space="preserve">Only the facts above differ. What is the inventory cost? of Invoice price?</w:t>
      </w:r>
    </w:p>
    <w:p>
      <w:pPr>
        <w:spacing w:before="40" w:after="16"/>
        <w:ind w:left="300" w:hanging="300"/>
      </w:pPr>
      <w:r>
        <w:rPr>
          <w:b/>
          <w:bCs/>
          <w:color w:val="353A7C"/>
          <w:sz w:val="19"/>
          <w:szCs w:val="19"/>
        </w:rPr>
        <w:t xml:space="preserve">12.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Yes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Yes (reduces cost)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 selling expense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No: period cost</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Specific identification is MOST appropriate for:</w:t>
      </w:r>
    </w:p>
    <w:p>
      <w:pPr>
        <w:spacing w:after="18"/>
        <w:ind w:left="560" w:hanging="260"/>
      </w:pPr>
      <w:r>
        <w:rPr>
          <w:b/>
          <w:bCs/>
          <w:color w:val="8186EF"/>
          <w:sz w:val="18"/>
          <w:szCs w:val="18"/>
        </w:rPr>
        <w:t xml:space="preserve">A. </w:t>
      </w:r>
      <w:r>
        <w:rPr>
          <w:sz w:val="18"/>
          <w:szCs w:val="18"/>
        </w:rPr>
        <w:t xml:space="preserve">unique, high-value items such as cars.</w:t>
      </w:r>
    </w:p>
    <w:p>
      <w:pPr>
        <w:spacing w:after="18"/>
        <w:ind w:left="560" w:hanging="260"/>
      </w:pPr>
      <w:r>
        <w:rPr>
          <w:b/>
          <w:bCs/>
          <w:color w:val="8186EF"/>
          <w:sz w:val="18"/>
          <w:szCs w:val="18"/>
        </w:rPr>
        <w:t xml:space="preserve">B. </w:t>
      </w:r>
      <w:r>
        <w:rPr>
          <w:sz w:val="18"/>
          <w:szCs w:val="18"/>
        </w:rPr>
        <w:t xml:space="preserve">large volumes of identical glass bottles.</w:t>
      </w:r>
    </w:p>
    <w:p>
      <w:pPr>
        <w:spacing w:after="18"/>
        <w:ind w:left="560" w:hanging="260"/>
      </w:pPr>
      <w:r>
        <w:rPr>
          <w:b/>
          <w:bCs/>
          <w:color w:val="8186EF"/>
          <w:sz w:val="18"/>
          <w:szCs w:val="18"/>
        </w:rPr>
        <w:t xml:space="preserve">C. </w:t>
      </w:r>
      <w:r>
        <w:rPr>
          <w:sz w:val="18"/>
          <w:szCs w:val="18"/>
        </w:rPr>
        <w:t xml:space="preserve">any items when prices are rising.</w:t>
      </w:r>
    </w:p>
    <w:p>
      <w:pPr>
        <w:spacing w:after="18"/>
        <w:ind w:left="560" w:hanging="260"/>
      </w:pPr>
      <w:r>
        <w:rPr>
          <w:b/>
          <w:bCs/>
          <w:color w:val="8186EF"/>
          <w:sz w:val="18"/>
          <w:szCs w:val="18"/>
        </w:rPr>
        <w:t xml:space="preserve">D. </w:t>
      </w:r>
      <w:r>
        <w:rPr>
          <w:sz w:val="18"/>
          <w:szCs w:val="18"/>
        </w:rPr>
        <w:t xml:space="preserve">perishable food products.</w:t>
      </w:r>
    </w:p>
    <w:p>
      <w:pPr>
        <w:spacing w:before="40" w:after="16"/>
        <w:ind w:left="300" w:hanging="300"/>
      </w:pPr>
      <w:r>
        <w:rPr>
          <w:b/>
          <w:bCs/>
          <w:color w:val="353A7C"/>
          <w:sz w:val="19"/>
          <w:szCs w:val="19"/>
        </w:rPr>
        <w:t xml:space="preserve">14.  </w:t>
      </w:r>
      <w:r>
        <w:rPr>
          <w:sz w:val="19"/>
          <w:szCs w:val="19"/>
        </w:rPr>
        <w:t xml:space="preserve">Prices are falling. Which method gives the highest gross profit?</w:t>
      </w:r>
    </w:p>
    <w:p>
      <w:pPr>
        <w:spacing w:after="18"/>
        <w:ind w:left="560" w:hanging="260"/>
      </w:pPr>
      <w:r>
        <w:rPr>
          <w:b/>
          <w:bCs/>
          <w:color w:val="8186EF"/>
          <w:sz w:val="18"/>
          <w:szCs w:val="18"/>
        </w:rPr>
        <w:t xml:space="preserve">A. </w:t>
      </w:r>
      <w:r>
        <w:rPr>
          <w:sz w:val="18"/>
          <w:szCs w:val="18"/>
        </w:rPr>
        <w:t xml:space="preserve">FIFO</w:t>
      </w:r>
    </w:p>
    <w:p>
      <w:pPr>
        <w:spacing w:after="18"/>
        <w:ind w:left="560" w:hanging="260"/>
      </w:pPr>
      <w:r>
        <w:rPr>
          <w:b/>
          <w:bCs/>
          <w:color w:val="8186EF"/>
          <w:sz w:val="18"/>
          <w:szCs w:val="18"/>
        </w:rPr>
        <w:t xml:space="preserve">B. </w:t>
      </w:r>
      <w:r>
        <w:rPr>
          <w:sz w:val="18"/>
          <w:szCs w:val="18"/>
        </w:rPr>
        <w:t xml:space="preserve">Weighted average</w:t>
      </w:r>
    </w:p>
    <w:p>
      <w:pPr>
        <w:spacing w:after="18"/>
        <w:ind w:left="560" w:hanging="260"/>
      </w:pPr>
      <w:r>
        <w:rPr>
          <w:b/>
          <w:bCs/>
          <w:color w:val="8186EF"/>
          <w:sz w:val="18"/>
          <w:szCs w:val="18"/>
        </w:rPr>
        <w:t xml:space="preserve">C. </w:t>
      </w:r>
      <w:r>
        <w:rPr>
          <w:sz w:val="18"/>
          <w:szCs w:val="18"/>
        </w:rPr>
        <w:t xml:space="preserve">LIFO</w:t>
      </w:r>
    </w:p>
    <w:p>
      <w:pPr>
        <w:spacing w:after="18"/>
        <w:ind w:left="560" w:hanging="260"/>
      </w:pPr>
      <w:r>
        <w:rPr>
          <w:b/>
          <w:bCs/>
          <w:color w:val="8186EF"/>
          <w:sz w:val="18"/>
          <w:szCs w:val="18"/>
        </w:rPr>
        <w:t xml:space="preserve">D. </w:t>
      </w:r>
      <w:r>
        <w:rPr>
          <w:sz w:val="18"/>
          <w:szCs w:val="18"/>
        </w:rPr>
        <w:t xml:space="preserve">All methods give the same gross profit.</w:t>
      </w:r>
    </w:p>
    <w:p>
      <w:pPr>
        <w:spacing w:before="40" w:after="16"/>
        <w:ind w:left="300" w:hanging="300"/>
      </w:pPr>
      <w:r>
        <w:rPr>
          <w:b/>
          <w:bCs/>
          <w:color w:val="353A7C"/>
          <w:sz w:val="19"/>
          <w:szCs w:val="19"/>
        </w:rPr>
        <w:t xml:space="preserve">15.  </w:t>
      </w:r>
      <w:r>
        <w:rPr>
          <w:sz w:val="19"/>
          <w:szCs w:val="19"/>
        </w:rPr>
        <w:t xml:space="preserve">What is the Orontes LIFO reserve for olive oil at the end of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7,000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16,000</w:t>
            </w:r>
          </w:p>
        </w:tc>
      </w:tr>
    </w:tbl>
    <w:p>
      <w:pPr>
        <w:spacing w:before="40" w:after="16"/>
        <w:ind w:left="300" w:hanging="300"/>
      </w:pPr>
      <w:r>
        <w:rPr>
          <w:b/>
          <w:bCs/>
          <w:color w:val="353A7C"/>
          <w:sz w:val="19"/>
          <w:szCs w:val="19"/>
        </w:rPr>
        <w:t xml:space="preserve">16.  </w:t>
      </w:r>
      <w:r>
        <w:rPr>
          <w:sz w:val="19"/>
          <w:szCs w:val="19"/>
        </w:rPr>
        <w:t xml:space="preserve">Prices are rising, and a LIFO company sells more units than it buys, so old layers are liquidated. What is the effect in that year?</w:t>
      </w:r>
    </w:p>
    <w:p>
      <w:pPr>
        <w:spacing w:after="18"/>
        <w:ind w:left="560" w:hanging="260"/>
      </w:pPr>
      <w:r>
        <w:rPr>
          <w:b/>
          <w:bCs/>
          <w:color w:val="8186EF"/>
          <w:sz w:val="18"/>
          <w:szCs w:val="18"/>
        </w:rPr>
        <w:t xml:space="preserve">A. </w:t>
      </w:r>
      <w:r>
        <w:rPr>
          <w:sz w:val="18"/>
          <w:szCs w:val="18"/>
        </w:rPr>
        <w:t xml:space="preserve">Gross profit decreases.</w:t>
      </w:r>
    </w:p>
    <w:p>
      <w:pPr>
        <w:spacing w:after="18"/>
        <w:ind w:left="560" w:hanging="260"/>
      </w:pPr>
      <w:r>
        <w:rPr>
          <w:b/>
          <w:bCs/>
          <w:color w:val="8186EF"/>
          <w:sz w:val="18"/>
          <w:szCs w:val="18"/>
        </w:rPr>
        <w:t xml:space="preserve">B. </w:t>
      </w:r>
      <w:r>
        <w:rPr>
          <w:sz w:val="18"/>
          <w:szCs w:val="18"/>
        </w:rPr>
        <w:t xml:space="preserve">Gross profit increases.</w:t>
      </w:r>
    </w:p>
    <w:p>
      <w:pPr>
        <w:spacing w:after="18"/>
        <w:ind w:left="560" w:hanging="260"/>
      </w:pPr>
      <w:r>
        <w:rPr>
          <w:b/>
          <w:bCs/>
          <w:color w:val="8186EF"/>
          <w:sz w:val="18"/>
          <w:szCs w:val="18"/>
        </w:rPr>
        <w:t xml:space="preserve">C. </w:t>
      </w:r>
      <w:r>
        <w:rPr>
          <w:sz w:val="18"/>
          <w:szCs w:val="18"/>
        </w:rPr>
        <w:t xml:space="preserve">There is no effect, because costs are historical.</w:t>
      </w:r>
    </w:p>
    <w:p>
      <w:pPr>
        <w:spacing w:after="18"/>
        <w:ind w:left="560" w:hanging="260"/>
      </w:pPr>
      <w:r>
        <w:rPr>
          <w:b/>
          <w:bCs/>
          <w:color w:val="8186EF"/>
          <w:sz w:val="18"/>
          <w:szCs w:val="18"/>
        </w:rPr>
        <w:t xml:space="preserve">D. </w:t>
      </w:r>
      <w:r>
        <w:rPr>
          <w:sz w:val="18"/>
          <w:szCs w:val="18"/>
        </w:rPr>
        <w:t xml:space="preserve">A loss arises that must be deferred.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Specific identification is MOST appropriate for:</w:t>
            </w:r>
          </w:p>
          <w:p>
            <w:pPr>
              <w:spacing w:after="16"/>
              <w:ind w:left="500" w:hanging="200"/>
            </w:pPr>
            <w:r>
              <w:rPr>
                <w:b/>
                <w:bCs/>
                <w:color w:val="8186EF"/>
                <w:sz w:val="18"/>
                <w:szCs w:val="18"/>
              </w:rPr>
              <w:t xml:space="preserve">A. </w:t>
            </w:r>
            <w:r>
              <w:rPr>
                <w:sz w:val="18"/>
                <w:szCs w:val="18"/>
              </w:rPr>
              <w:t xml:space="preserve">unique, high-value items such as cars.</w:t>
            </w:r>
          </w:p>
          <w:p>
            <w:pPr>
              <w:spacing w:after="16"/>
              <w:ind w:left="500" w:hanging="200"/>
            </w:pPr>
            <w:r>
              <w:rPr>
                <w:b/>
                <w:bCs/>
                <w:color w:val="8186EF"/>
                <w:sz w:val="18"/>
                <w:szCs w:val="18"/>
              </w:rPr>
              <w:t xml:space="preserve">B. </w:t>
            </w:r>
            <w:r>
              <w:rPr>
                <w:sz w:val="18"/>
                <w:szCs w:val="18"/>
              </w:rPr>
              <w:t xml:space="preserve">large volumes of identical glass bottles.</w:t>
            </w:r>
          </w:p>
          <w:p>
            <w:pPr>
              <w:spacing w:after="16"/>
              <w:ind w:left="500" w:hanging="200"/>
            </w:pPr>
            <w:r>
              <w:rPr>
                <w:b/>
                <w:bCs/>
                <w:color w:val="8186EF"/>
                <w:sz w:val="18"/>
                <w:szCs w:val="18"/>
              </w:rPr>
              <w:t xml:space="preserve">C. </w:t>
            </w:r>
            <w:r>
              <w:rPr>
                <w:sz w:val="18"/>
                <w:szCs w:val="18"/>
              </w:rPr>
              <w:t xml:space="preserve">any items when prices are rising.</w:t>
            </w:r>
          </w:p>
          <w:p>
            <w:pPr>
              <w:spacing w:after="16"/>
              <w:ind w:left="500" w:hanging="200"/>
            </w:pPr>
            <w:r>
              <w:rPr>
                <w:b/>
                <w:bCs/>
                <w:color w:val="8186EF"/>
                <w:sz w:val="18"/>
                <w:szCs w:val="18"/>
              </w:rPr>
              <w:t xml:space="preserve">D. </w:t>
            </w:r>
            <w:r>
              <w:rPr>
                <w:sz w:val="18"/>
                <w:szCs w:val="18"/>
              </w:rPr>
              <w:t xml:space="preserve">perishable food products.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77"/>
        <w:gridCol w:w="462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9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8"/>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92"/>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8"/>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592"/>
            <w:shd w:fill="FBFAF6" w:val="clear"/>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408"/>
            <w:shd w:fill="FBFAF6" w:val="clear"/>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592"/>
            <w:tcMar>
              <w:top w:type="dxa" w:w="50"/>
              <w:left w:type="dxa" w:w="110"/>
              <w:bottom w:type="dxa" w:w="50"/>
              <w:right w:type="dxa" w:w="110"/>
            </w:tcMar>
          </w:tcPr>
          <w:p>
            <w:pPr>
              <w:spacing w:before="26" w:after="26"/>
            </w:pPr>
            <w:r>
              <w:rPr>
                <w:color w:val="232733"/>
                <w:sz w:val="16"/>
                <w:szCs w:val="16"/>
              </w:rPr>
              <w:t xml:space="preserve">FOB shipping point</w:t>
            </w:r>
          </w:p>
        </w:tc>
        <w:tc>
          <w:tcPr>
            <w:tcW w:type="pct" w:w="2408"/>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592"/>
            <w:shd w:fill="FBFAF6" w:val="clear"/>
            <w:tcMar>
              <w:top w:type="dxa" w:w="50"/>
              <w:left w:type="dxa" w:w="110"/>
              <w:bottom w:type="dxa" w:w="50"/>
              <w:right w:type="dxa" w:w="110"/>
            </w:tcMar>
          </w:tcPr>
          <w:p>
            <w:pPr>
              <w:spacing w:before="26" w:after="26"/>
            </w:pPr>
            <w:r>
              <w:rPr>
                <w:color w:val="232733"/>
                <w:sz w:val="16"/>
                <w:szCs w:val="16"/>
              </w:rPr>
              <w:t xml:space="preserve">physical count</w:t>
            </w:r>
          </w:p>
        </w:tc>
        <w:tc>
          <w:tcPr>
            <w:tcW w:type="pct" w:w="2408"/>
            <w:shd w:fill="FBFAF6" w:val="clear"/>
            <w:tcMar>
              <w:top w:type="dxa" w:w="50"/>
              <w:left w:type="dxa" w:w="110"/>
              <w:bottom w:type="dxa" w:w="50"/>
              <w:right w:type="dxa" w:w="110"/>
            </w:tcMar>
          </w:tcPr>
          <w:p>
            <w:pPr>
              <w:spacing w:before="26" w:after="26"/>
            </w:pPr>
            <w:r>
              <w:rPr>
                <w:color w:val="232733"/>
                <w:sz w:val="16"/>
                <w:szCs w:val="16"/>
              </w:rPr>
              <w:t xml:space="preserve">الجرد الفعلي</w:t>
            </w:r>
          </w:p>
        </w:tc>
      </w:tr>
      <w:tr>
        <w:tc>
          <w:tcPr>
            <w:tcW w:type="pct" w:w="2592"/>
            <w:tcMar>
              <w:top w:type="dxa" w:w="50"/>
              <w:left w:type="dxa" w:w="110"/>
              <w:bottom w:type="dxa" w:w="50"/>
              <w:right w:type="dxa" w:w="110"/>
            </w:tcMar>
          </w:tcPr>
          <w:p>
            <w:pPr>
              <w:spacing w:before="26" w:after="26"/>
            </w:pPr>
            <w:r>
              <w:rPr>
                <w:color w:val="232733"/>
                <w:sz w:val="16"/>
                <w:szCs w:val="16"/>
              </w:rPr>
              <w:t xml:space="preserve">abnormal waste</w:t>
            </w:r>
          </w:p>
        </w:tc>
        <w:tc>
          <w:tcPr>
            <w:tcW w:type="pct" w:w="2408"/>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592"/>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408"/>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نظام الجرد الدوري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التلف غير العادي</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التسليم عند نقطة الشحن</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المتوسط المتحرك</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تكلفة البضاعة المباعة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الجرد الفعلي</w:t>
            </w:r>
          </w:p>
        </w:tc>
      </w:tr>
    </w:tbl>
    <w:p/>
    <w:p>
      <w:pPr>
        <w:spacing w:before="24" w:after="24"/>
        <w:ind w:left="300" w:hanging="300"/>
      </w:pPr>
      <w:r>
        <w:rPr>
          <w:b/>
          <w:bCs/>
          <w:color w:val="353A7C"/>
          <w:sz w:val="18"/>
          <w:szCs w:val="18"/>
        </w:rPr>
        <w:t xml:space="preserve">19.  </w:t>
      </w:r>
      <w:r>
        <w:rPr>
          <w:sz w:val="18"/>
          <w:szCs w:val="18"/>
        </w:rPr>
        <w:t xml:space="preserve">cost of goods sold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abnormal waste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moving average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physical 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FOB shipping point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periodic inventory system</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25.  </w:t>
      </w:r>
      <w:r>
        <w:rPr>
          <w:sz w:val="19"/>
          <w:szCs w:val="19"/>
        </w:rPr>
        <w:t xml:space="preserve">The LIFO conformity rule requires that:</w:t>
      </w:r>
    </w:p>
    <w:p>
      <w:pPr>
        <w:spacing w:after="18"/>
        <w:ind w:left="560" w:hanging="260"/>
      </w:pPr>
      <w:r>
        <w:rPr>
          <w:b/>
          <w:bCs/>
          <w:color w:val="8186EF"/>
          <w:sz w:val="18"/>
          <w:szCs w:val="18"/>
        </w:rPr>
        <w:t xml:space="preserve">A. </w:t>
      </w:r>
      <w:r>
        <w:rPr>
          <w:sz w:val="18"/>
          <w:szCs w:val="18"/>
        </w:rPr>
        <w:t xml:space="preserve">a company using LIFO for its U.S. tax return also uses LIFO in its financial statements.</w:t>
      </w:r>
    </w:p>
    <w:p>
      <w:pPr>
        <w:spacing w:after="18"/>
        <w:ind w:left="560" w:hanging="260"/>
      </w:pPr>
      <w:r>
        <w:rPr>
          <w:b/>
          <w:bCs/>
          <w:color w:val="8186EF"/>
          <w:sz w:val="18"/>
          <w:szCs w:val="18"/>
        </w:rPr>
        <w:t xml:space="preserve">B. </w:t>
      </w:r>
      <w:r>
        <w:rPr>
          <w:sz w:val="18"/>
          <w:szCs w:val="18"/>
        </w:rPr>
        <w:t xml:space="preserve">companies reporting under IFRS use LIFO.</w:t>
      </w:r>
    </w:p>
    <w:p>
      <w:pPr>
        <w:spacing w:after="18"/>
        <w:ind w:left="560" w:hanging="260"/>
      </w:pPr>
      <w:r>
        <w:rPr>
          <w:b/>
          <w:bCs/>
          <w:color w:val="8186EF"/>
          <w:sz w:val="18"/>
          <w:szCs w:val="18"/>
        </w:rPr>
        <w:t xml:space="preserve">C. </w:t>
      </w:r>
      <w:r>
        <w:rPr>
          <w:sz w:val="18"/>
          <w:szCs w:val="18"/>
        </w:rPr>
        <w:t xml:space="preserve">a company using LIFO applies it to every inventory in every country.</w:t>
      </w:r>
    </w:p>
    <w:p>
      <w:pPr>
        <w:spacing w:after="18"/>
        <w:ind w:left="560" w:hanging="260"/>
      </w:pPr>
      <w:r>
        <w:rPr>
          <w:b/>
          <w:bCs/>
          <w:color w:val="8186EF"/>
          <w:sz w:val="18"/>
          <w:szCs w:val="18"/>
        </w:rPr>
        <w:t xml:space="preserve">D. </w:t>
      </w:r>
      <w:r>
        <w:rPr>
          <w:sz w:val="18"/>
          <w:szCs w:val="18"/>
        </w:rPr>
        <w:t xml:space="preserve">a company using LIFO for its financial statements uses FIFO for tax.</w:t>
      </w:r>
    </w:p>
    <w:p>
      <w:pPr>
        <w:spacing w:before="40" w:after="16"/>
        <w:ind w:left="300" w:hanging="300"/>
      </w:pPr>
      <w:r>
        <w:rPr>
          <w:b/>
          <w:bCs/>
          <w:color w:val="353A7C"/>
          <w:sz w:val="19"/>
          <w:szCs w:val="19"/>
        </w:rPr>
        <w:t xml:space="preserve">26.  </w:t>
      </w:r>
      <w:r>
        <w:rPr>
          <w:sz w:val="19"/>
          <w:szCs w:val="19"/>
        </w:rPr>
        <w:t xml:space="preserve">Orontes overstated its 2025 ending inventory by 40 (USD 000). Ignoring taxes, what is the effect on retained earnings at the end of 2026?</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Overstated by 40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Understated by 40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 effect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Overstated by 80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28.  </w:t>
      </w:r>
      <w:r>
        <w:rPr>
          <w:sz w:val="19"/>
          <w:szCs w:val="19"/>
        </w:rPr>
        <w:t xml:space="preserve">Rebuild the figure from this handout. Label every part and fill in every box.</w:t>
      </w:r>
    </w:p>
    <w:p>
      <w:pPr>
        <w:spacing w:after="40" w:before="90"/>
        <w:jc w:val="center"/>
      </w:pPr>
      <w:r>
        <w:drawing>
          <wp:inline distT="0" distB="0" distL="0" distR="0">
            <wp:extent cx="5734050" cy="408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40892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cost of goods sold  ·  periodic inventory system  ·  FOB shipping point  ·  physical count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7.3</w:t>
      </w:r>
    </w:p>
    <w:p>
      <w:pPr>
        <w:spacing w:after="8"/>
      </w:pPr>
      <w:r>
        <w:rPr>
          <w:color w:val="23265A"/>
          <w:sz w:val="22"/>
          <w:szCs w:val="22"/>
        </w:rPr>
        <w:t xml:space="preserve">Cost flow assumptions</w:t>
      </w:r>
    </w:p>
    <w:p>
      <w:pPr>
        <w:spacing w:after="130"/>
      </w:pPr>
      <w:r>
        <w:rPr>
          <w:color w:val="6B7280"/>
          <w:sz w:val="20"/>
          <w:szCs w:val="20"/>
        </w:rPr>
        <w:t xml:space="preserve">section 7.3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40"/>
        <w:gridCol w:w="2868"/>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06"/>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94"/>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06"/>
            <w:tcMar>
              <w:top w:type="dxa" w:w="50"/>
              <w:left w:type="dxa" w:w="110"/>
              <w:bottom w:type="dxa" w:w="50"/>
              <w:right w:type="dxa" w:w="110"/>
            </w:tcMar>
          </w:tcPr>
          <w:p>
            <w:pPr>
              <w:spacing w:before="26" w:after="26"/>
            </w:pPr>
            <w:r>
              <w:rPr>
                <w:color w:val="232733"/>
                <w:sz w:val="16"/>
                <w:szCs w:val="16"/>
              </w:rPr>
              <w:t xml:space="preserve">Cost flow assumptions</w:t>
            </w:r>
          </w:p>
        </w:tc>
        <w:tc>
          <w:tcPr>
            <w:tcW w:type="pct" w:w="1494"/>
            <w:tcMar>
              <w:top w:type="dxa" w:w="50"/>
              <w:left w:type="dxa" w:w="110"/>
              <w:bottom w:type="dxa" w:w="50"/>
              <w:right w:type="dxa" w:w="110"/>
            </w:tcMar>
          </w:tcPr>
          <w:p>
            <w:pPr>
              <w:spacing w:before="26" w:after="26"/>
            </w:pPr>
            <w:r>
              <w:rPr>
                <w:color w:val="232733"/>
                <w:sz w:val="16"/>
                <w:szCs w:val="16"/>
              </w:rPr>
              <w:t xml:space="preserve">a figure to read · Method · the book’s own rule, gapped</w:t>
            </w:r>
          </w:p>
        </w:tc>
        <w:tc>
          <w:tcPr>
            <w:tcW w:type="pct" w:w="2600"/>
            <w:tcMar>
              <w:top w:type="dxa" w:w="50"/>
              <w:left w:type="dxa" w:w="110"/>
              <w:bottom w:type="dxa" w:w="50"/>
              <w:right w:type="dxa" w:w="110"/>
            </w:tcMar>
          </w:tcPr>
          <w:p>
            <w:pPr>
              <w:spacing w:before="26" w:after="26"/>
            </w:pPr>
            <w:r>
              <w:rPr>
                <w:color w:val="232733"/>
                <w:sz w:val="16"/>
                <w:szCs w:val="16"/>
              </w:rPr>
              <w:t xml:space="preserve">The tax rate is 25%. Ending inventory was overstated by 40. By how much is net income overstated in that year?</w:t>
            </w:r>
          </w:p>
        </w:tc>
      </w:tr>
      <w:tr>
        <w:tc>
          <w:tcPr>
            <w:tcW w:type="pct" w:w="906"/>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94"/>
            <w:shd w:fill="FBFAF6" w:val="clear"/>
            <w:tcMar>
              <w:top w:type="dxa" w:w="50"/>
              <w:left w:type="dxa" w:w="110"/>
              <w:bottom w:type="dxa" w:w="50"/>
              <w:right w:type="dxa" w:w="110"/>
            </w:tcMar>
          </w:tcPr>
          <w:p>
            <w:pPr>
              <w:spacing w:before="26" w:after="26"/>
            </w:pPr>
            <w:r>
              <w:rPr>
                <w:color w:val="232733"/>
                <w:sz w:val="16"/>
                <w:szCs w:val="16"/>
              </w:rPr>
              <w:t xml:space="preserve">Method · The English the exam uses, and what it translates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FOB destination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freight-in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inventoriable cost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cost of goods sold   ·   moving average   ·   Specific identification   ·   cost flow assumption   ·   consignee   ·   inventory</w:t>
      </w:r>
    </w:p>
    <w:p>
      <w:pPr>
        <w:spacing w:before="36" w:after="36"/>
        <w:ind w:left="300"/>
      </w:pPr>
      <w:r>
        <w:rPr>
          <w:sz w:val="19"/>
          <w:szCs w:val="19"/>
        </w:rPr>
        <w:t xml:space="preserve">When a company sells some units and keeps others, it must decide which costs go to </w:t>
      </w:r>
      <w:r>
        <w:rPr>
          <w:u w:val="single"/>
          <w:sz w:val="19"/>
          <w:szCs w:val="19"/>
        </w:rPr>
        <w:t xml:space="preserve">                    </w:t>
      </w:r>
      <w:r>
        <w:rPr>
          <w:sz w:val="19"/>
          <w:szCs w:val="19"/>
        </w:rPr>
        <w:t xml:space="preserve"> and which stay in ending </w:t>
      </w:r>
      <w:r>
        <w:rPr>
          <w:u w:val="single"/>
          <w:sz w:val="19"/>
          <w:szCs w:val="19"/>
        </w:rPr>
        <w:t xml:space="preserve">           </w:t>
      </w:r>
      <w:r>
        <w:rPr>
          <w:sz w:val="19"/>
          <w:szCs w:val="19"/>
        </w:rPr>
        <w:t xml:space="preserve">. This decision is a </w:t>
      </w:r>
      <w:r>
        <w:rPr>
          <w:u w:val="single"/>
          <w:sz w:val="19"/>
          <w:szCs w:val="19"/>
        </w:rPr>
        <w:t xml:space="preserve">                      </w:t>
      </w:r>
      <w:r>
        <w:rPr>
          <w:sz w:val="19"/>
          <w:szCs w:val="19"/>
        </w:rPr>
        <w:t xml:space="preserve">. It does not need to match the physical flow of the goods. </w:t>
      </w:r>
      <w:r>
        <w:rPr>
          <w:u w:val="single"/>
          <w:sz w:val="19"/>
          <w:szCs w:val="19"/>
        </w:rPr>
        <w:t xml:space="preserve">                         </w:t>
      </w:r>
      <w:r>
        <w:rPr>
          <w:sz w:val="19"/>
          <w:szCs w:val="19"/>
        </w:rPr>
        <w:t xml:space="preserve"> tracks the actual cost of each item.</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cost of goods sold   ·   consignee   ·   periodic inventory system   ·   perpetual inventory system   ·   moving average</w:t>
      </w:r>
    </w:p>
    <w:p>
      <w:pPr>
        <w:spacing w:before="36" w:after="36"/>
        <w:ind w:left="300"/>
      </w:pPr>
      <w:r>
        <w:rPr>
          <w:sz w:val="19"/>
          <w:szCs w:val="19"/>
        </w:rPr>
        <w:t xml:space="preserve">In a </w:t>
      </w:r>
      <w:r>
        <w:rPr>
          <w:u w:val="single"/>
          <w:sz w:val="19"/>
          <w:szCs w:val="19"/>
        </w:rPr>
        <w:t xml:space="preserve">                           </w:t>
      </w:r>
      <w:r>
        <w:rPr>
          <w:sz w:val="19"/>
          <w:szCs w:val="19"/>
        </w:rPr>
        <w:t xml:space="preserve">, the company counts the goods at year-end and calculates </w:t>
      </w:r>
      <w:r>
        <w:rPr>
          <w:u w:val="single"/>
          <w:sz w:val="19"/>
          <w:szCs w:val="19"/>
        </w:rPr>
        <w:t xml:space="preserve">                    </w:t>
      </w:r>
      <w:r>
        <w:rPr>
          <w:sz w:val="19"/>
          <w:szCs w:val="19"/>
        </w:rPr>
        <w:t xml:space="preserve"> for the whole period. In a </w:t>
      </w:r>
      <w:r>
        <w:rPr>
          <w:u w:val="single"/>
          <w:sz w:val="19"/>
          <w:szCs w:val="19"/>
        </w:rPr>
        <w:t xml:space="preserve">                            </w:t>
      </w:r>
      <w:r>
        <w:rPr>
          <w:sz w:val="19"/>
          <w:szCs w:val="19"/>
        </w:rPr>
        <w:t xml:space="preserve">, it updates inventory and cost of goods sold after every purchase and every sale.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moving average   ·   inventory   ·   cost of goods sold   ·   consignee   ·   specific identification</w:t>
      </w:r>
    </w:p>
    <w:p>
      <w:pPr>
        <w:spacing w:before="36" w:after="36"/>
        <w:ind w:left="300"/>
      </w:pPr>
      <w:r>
        <w:rPr>
          <w:sz w:val="19"/>
          <w:szCs w:val="19"/>
        </w:rPr>
        <w:t xml:space="preserve">Then check that </w:t>
      </w:r>
      <w:r>
        <w:rPr>
          <w:u w:val="single"/>
          <w:sz w:val="19"/>
          <w:szCs w:val="19"/>
        </w:rPr>
        <w:t xml:space="preserve">                    </w:t>
      </w:r>
      <w:r>
        <w:rPr>
          <w:sz w:val="19"/>
          <w:szCs w:val="19"/>
        </w:rPr>
        <w:t xml:space="preserve"> plus ending </w:t>
      </w:r>
      <w:r>
        <w:rPr>
          <w:u w:val="single"/>
          <w:sz w:val="19"/>
          <w:szCs w:val="19"/>
        </w:rPr>
        <w:t xml:space="preserve">           </w:t>
      </w:r>
      <w:r>
        <w:rPr>
          <w:sz w:val="19"/>
          <w:szCs w:val="19"/>
        </w:rPr>
        <w:t xml:space="preserve"> equals the cost of goods available. Faded example: periodic LIFO for Dubai pastry trays; the learner completes the dashed boxes. IAS 2 allows FIFO and the weighted average, and it requires </w:t>
      </w:r>
      <w:r>
        <w:rPr>
          <w:u w:val="single"/>
          <w:sz w:val="19"/>
          <w:szCs w:val="19"/>
        </w:rPr>
        <w:t xml:space="preserve">                         </w:t>
      </w:r>
      <w:r>
        <w:rPr>
          <w:sz w:val="19"/>
          <w:szCs w:val="19"/>
        </w:rPr>
        <w:t xml:space="preserve"> for items that are not interchangeable.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Cost flow assumptions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periodic: ending inventory of FIFO as “100,000”.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62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6215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321"/>
        <w:gridCol w:w="1867"/>
        <w:gridCol w:w="1215"/>
        <w:gridCol w:w="1924"/>
        <w:gridCol w:w="1273"/>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Method — the book’s own table</w:t>
            </w:r>
          </w:p>
        </w:tc>
      </w:tr>
      <w:tr>
        <w:tc>
          <w:tcPr>
            <w:tcW w:type="pct" w:w="1730"/>
            <w:tcMar>
              <w:top w:type="dxa" w:w="50"/>
              <w:left w:type="dxa" w:w="110"/>
              <w:bottom w:type="dxa" w:w="50"/>
              <w:right w:type="dxa" w:w="110"/>
            </w:tcMar>
          </w:tcPr>
          <w:p>
            <w:pPr>
              <w:spacing w:before="26" w:after="26"/>
            </w:pPr>
            <w:r>
              <w:rPr>
                <w:b/>
                <w:bCs/>
                <w:color w:val="353A7C"/>
                <w:sz w:val="15"/>
                <w:szCs w:val="15"/>
              </w:rPr>
              <w:t xml:space="preserve">Method</w:t>
            </w:r>
          </w:p>
        </w:tc>
        <w:tc>
          <w:tcPr>
            <w:tcW w:type="pct" w:w="972"/>
            <w:tcMar>
              <w:top w:type="dxa" w:w="50"/>
              <w:left w:type="dxa" w:w="110"/>
              <w:bottom w:type="dxa" w:w="50"/>
              <w:right w:type="dxa" w:w="110"/>
            </w:tcMar>
          </w:tcPr>
          <w:p>
            <w:pPr>
              <w:spacing w:before="26" w:after="26"/>
            </w:pPr>
            <w:r>
              <w:rPr>
                <w:b/>
                <w:bCs/>
                <w:color w:val="353A7C"/>
                <w:sz w:val="15"/>
                <w:szCs w:val="15"/>
              </w:rPr>
              <w:t xml:space="preserve">Periodic: ending inventory</w:t>
            </w:r>
          </w:p>
        </w:tc>
        <w:tc>
          <w:tcPr>
            <w:tcW w:type="pct" w:w="633"/>
            <w:tcMar>
              <w:top w:type="dxa" w:w="50"/>
              <w:left w:type="dxa" w:w="110"/>
              <w:bottom w:type="dxa" w:w="50"/>
              <w:right w:type="dxa" w:w="110"/>
            </w:tcMar>
          </w:tcPr>
          <w:p>
            <w:pPr>
              <w:spacing w:before="26" w:after="26"/>
            </w:pPr>
            <w:r>
              <w:rPr>
                <w:b/>
                <w:bCs/>
                <w:color w:val="353A7C"/>
                <w:sz w:val="15"/>
                <w:szCs w:val="15"/>
              </w:rPr>
              <w:t xml:space="preserve">Periodic: COGS</w:t>
            </w:r>
          </w:p>
        </w:tc>
        <w:tc>
          <w:tcPr>
            <w:tcW w:type="pct" w:w="1002"/>
            <w:tcMar>
              <w:top w:type="dxa" w:w="50"/>
              <w:left w:type="dxa" w:w="110"/>
              <w:bottom w:type="dxa" w:w="50"/>
              <w:right w:type="dxa" w:w="110"/>
            </w:tcMar>
          </w:tcPr>
          <w:p>
            <w:pPr>
              <w:spacing w:before="26" w:after="26"/>
            </w:pPr>
            <w:r>
              <w:rPr>
                <w:b/>
                <w:bCs/>
                <w:color w:val="353A7C"/>
                <w:sz w:val="15"/>
                <w:szCs w:val="15"/>
              </w:rPr>
              <w:t xml:space="preserve">Perpetual: ending inventory</w:t>
            </w:r>
          </w:p>
        </w:tc>
        <w:tc>
          <w:tcPr>
            <w:tcW w:type="pct" w:w="663"/>
            <w:tcMar>
              <w:top w:type="dxa" w:w="50"/>
              <w:left w:type="dxa" w:w="110"/>
              <w:bottom w:type="dxa" w:w="50"/>
              <w:right w:type="dxa" w:w="110"/>
            </w:tcMar>
          </w:tcPr>
          <w:p>
            <w:pPr>
              <w:spacing w:before="26" w:after="26"/>
            </w:pPr>
            <w:r>
              <w:rPr>
                <w:b/>
                <w:bCs/>
                <w:color w:val="353A7C"/>
                <w:sz w:val="15"/>
                <w:szCs w:val="15"/>
              </w:rPr>
              <w:t xml:space="preserve">Perpetual: COGS</w:t>
            </w:r>
          </w:p>
        </w:tc>
      </w:tr>
      <w:tr>
        <w:tc>
          <w:tcPr>
            <w:tcW w:type="pct" w:w="1730"/>
            <w:tcMar>
              <w:top w:type="dxa" w:w="50"/>
              <w:left w:type="dxa" w:w="110"/>
              <w:bottom w:type="dxa" w:w="50"/>
              <w:right w:type="dxa" w:w="110"/>
            </w:tcMar>
          </w:tcPr>
          <w:p>
            <w:pPr>
              <w:spacing w:before="26" w:after="26"/>
            </w:pPr>
            <w:r>
              <w:rPr>
                <w:color w:val="232733"/>
                <w:sz w:val="16"/>
                <w:szCs w:val="16"/>
              </w:rPr>
              <w:t xml:space="preserve">FIFO</w:t>
            </w:r>
          </w:p>
        </w:tc>
        <w:tc>
          <w:tcPr>
            <w:tcW w:type="pct" w:w="972"/>
            <w:tcMar>
              <w:top w:type="dxa" w:w="50"/>
              <w:left w:type="dxa" w:w="110"/>
              <w:bottom w:type="dxa" w:w="50"/>
              <w:right w:type="dxa" w:w="110"/>
            </w:tcMar>
          </w:tcPr>
          <w:p>
            <w:pPr>
              <w:spacing w:before="26" w:after="26"/>
            </w:pPr>
            <w:r>
              <w:rPr>
                <w:color w:val="232733"/>
                <w:sz w:val="16"/>
                <w:szCs w:val="16"/>
              </w:rPr>
              <w:t xml:space="preserve">100,000</w:t>
            </w:r>
          </w:p>
        </w:tc>
        <w:tc>
          <w:tcPr>
            <w:tcW w:type="pct" w:w="633"/>
            <w:tcMar>
              <w:top w:type="dxa" w:w="50"/>
              <w:left w:type="dxa" w:w="110"/>
              <w:bottom w:type="dxa" w:w="50"/>
              <w:right w:type="dxa" w:w="110"/>
            </w:tcMar>
          </w:tcPr>
          <w:p>
            <w:pPr>
              <w:spacing w:before="26" w:after="26"/>
            </w:pPr>
            <w:r>
              <w:rPr>
                <w:color w:val="232733"/>
                <w:sz w:val="16"/>
                <w:szCs w:val="16"/>
              </w:rPr>
              <w:t xml:space="preserve">272,000</w:t>
            </w:r>
          </w:p>
        </w:tc>
        <w:tc>
          <w:tcPr>
            <w:tcW w:type="pct" w:w="1002"/>
            <w:tcMar>
              <w:top w:type="dxa" w:w="50"/>
              <w:left w:type="dxa" w:w="110"/>
              <w:bottom w:type="dxa" w:w="50"/>
              <w:right w:type="dxa" w:w="110"/>
            </w:tcMar>
          </w:tcPr>
          <w:p>
            <w:pPr>
              <w:spacing w:before="26" w:after="26"/>
            </w:pPr>
            <w:r>
              <w:rPr>
                <w:color w:val="232733"/>
                <w:sz w:val="16"/>
                <w:szCs w:val="16"/>
              </w:rPr>
              <w:t xml:space="preserve">100,000</w:t>
            </w:r>
          </w:p>
        </w:tc>
        <w:tc>
          <w:tcPr>
            <w:tcW w:type="pct" w:w="663"/>
            <w:tcMar>
              <w:top w:type="dxa" w:w="50"/>
              <w:left w:type="dxa" w:w="110"/>
              <w:bottom w:type="dxa" w:w="50"/>
              <w:right w:type="dxa" w:w="110"/>
            </w:tcMar>
          </w:tcPr>
          <w:p>
            <w:pPr>
              <w:spacing w:before="26" w:after="26"/>
            </w:pPr>
            <w:r>
              <w:rPr>
                <w:color w:val="232733"/>
                <w:sz w:val="16"/>
                <w:szCs w:val="16"/>
              </w:rPr>
              <w:t xml:space="preserve">272,000</w:t>
            </w:r>
          </w:p>
        </w:tc>
      </w:tr>
      <w:tr>
        <w:tc>
          <w:tcPr>
            <w:tcW w:type="pct" w:w="1730"/>
            <w:shd w:fill="FBFAF6" w:val="clear"/>
            <w:tcMar>
              <w:top w:type="dxa" w:w="50"/>
              <w:left w:type="dxa" w:w="110"/>
              <w:bottom w:type="dxa" w:w="50"/>
              <w:right w:type="dxa" w:w="110"/>
            </w:tcMar>
          </w:tcPr>
          <w:p>
            <w:pPr>
              <w:spacing w:before="26" w:after="26"/>
            </w:pPr>
            <w:r>
              <w:rPr>
                <w:color w:val="232733"/>
                <w:sz w:val="16"/>
                <w:szCs w:val="16"/>
              </w:rPr>
              <w:t xml:space="preserve">LIFO</w:t>
            </w:r>
          </w:p>
        </w:tc>
        <w:tc>
          <w:tcPr>
            <w:tcW w:type="pct" w:w="972"/>
            <w:shd w:fill="FBFAF6" w:val="clear"/>
            <w:tcMar>
              <w:top w:type="dxa" w:w="50"/>
              <w:left w:type="dxa" w:w="110"/>
              <w:bottom w:type="dxa" w:w="50"/>
              <w:right w:type="dxa" w:w="110"/>
            </w:tcMar>
          </w:tcPr>
          <w:p>
            <w:pPr>
              <w:spacing w:before="26" w:after="26"/>
            </w:pPr>
            <w:r>
              <w:rPr>
                <w:color w:val="232733"/>
                <w:sz w:val="16"/>
                <w:szCs w:val="16"/>
              </w:rPr>
              <w:t xml:space="preserve">84,000</w:t>
            </w:r>
          </w:p>
        </w:tc>
        <w:tc>
          <w:tcPr>
            <w:tcW w:type="pct" w:w="633"/>
            <w:shd w:fill="FBFAF6" w:val="clear"/>
            <w:tcMar>
              <w:top w:type="dxa" w:w="50"/>
              <w:left w:type="dxa" w:w="110"/>
              <w:bottom w:type="dxa" w:w="50"/>
              <w:right w:type="dxa" w:w="110"/>
            </w:tcMar>
          </w:tcPr>
          <w:p>
            <w:pPr>
              <w:spacing w:before="26" w:after="26"/>
            </w:pPr>
            <w:r>
              <w:rPr>
                <w:color w:val="232733"/>
                <w:sz w:val="16"/>
                <w:szCs w:val="16"/>
              </w:rPr>
              <w:t xml:space="preserve">288,000</w:t>
            </w:r>
          </w:p>
        </w:tc>
        <w:tc>
          <w:tcPr>
            <w:tcW w:type="pct" w:w="1002"/>
            <w:shd w:fill="FBFAF6" w:val="clear"/>
            <w:tcMar>
              <w:top w:type="dxa" w:w="50"/>
              <w:left w:type="dxa" w:w="110"/>
              <w:bottom w:type="dxa" w:w="50"/>
              <w:right w:type="dxa" w:w="110"/>
            </w:tcMar>
          </w:tcPr>
          <w:p>
            <w:pPr>
              <w:spacing w:before="26" w:after="26"/>
            </w:pPr>
            <w:r>
              <w:rPr>
                <w:color w:val="232733"/>
                <w:sz w:val="16"/>
                <w:szCs w:val="16"/>
              </w:rPr>
              <w:t xml:space="preserve">93,000</w:t>
            </w:r>
          </w:p>
        </w:tc>
        <w:tc>
          <w:tcPr>
            <w:tcW w:type="pct" w:w="663"/>
            <w:shd w:fill="FBFAF6" w:val="clear"/>
            <w:tcMar>
              <w:top w:type="dxa" w:w="50"/>
              <w:left w:type="dxa" w:w="110"/>
              <w:bottom w:type="dxa" w:w="50"/>
              <w:right w:type="dxa" w:w="110"/>
            </w:tcMar>
          </w:tcPr>
          <w:p>
            <w:pPr>
              <w:spacing w:before="26" w:after="26"/>
            </w:pPr>
            <w:r>
              <w:rPr>
                <w:color w:val="232733"/>
                <w:sz w:val="16"/>
                <w:szCs w:val="16"/>
              </w:rPr>
              <w:t xml:space="preserve">279,000</w:t>
            </w:r>
          </w:p>
        </w:tc>
      </w:tr>
      <w:tr>
        <w:tc>
          <w:tcPr>
            <w:tcW w:type="pct" w:w="1730"/>
            <w:tcMar>
              <w:top w:type="dxa" w:w="50"/>
              <w:left w:type="dxa" w:w="110"/>
              <w:bottom w:type="dxa" w:w="50"/>
              <w:right w:type="dxa" w:w="110"/>
            </w:tcMar>
          </w:tcPr>
          <w:p>
            <w:pPr>
              <w:spacing w:before="26" w:after="26"/>
            </w:pPr>
            <w:r>
              <w:rPr>
                <w:color w:val="232733"/>
                <w:sz w:val="16"/>
                <w:szCs w:val="16"/>
              </w:rPr>
              <w:t xml:space="preserve">Average (weighted / moving)</w:t>
            </w:r>
          </w:p>
        </w:tc>
        <w:tc>
          <w:tcPr>
            <w:tcW w:type="pct" w:w="972"/>
            <w:tcMar>
              <w:top w:type="dxa" w:w="50"/>
              <w:left w:type="dxa" w:w="110"/>
              <w:bottom w:type="dxa" w:w="50"/>
              <w:right w:type="dxa" w:w="110"/>
            </w:tcMar>
          </w:tcPr>
          <w:p>
            <w:pPr>
              <w:spacing w:before="26" w:after="26"/>
            </w:pPr>
            <w:r>
              <w:rPr>
                <w:color w:val="232733"/>
                <w:sz w:val="16"/>
                <w:szCs w:val="16"/>
              </w:rPr>
              <w:t xml:space="preserve">93,000</w:t>
            </w:r>
          </w:p>
        </w:tc>
        <w:tc>
          <w:tcPr>
            <w:tcW w:type="pct" w:w="633"/>
            <w:tcMar>
              <w:top w:type="dxa" w:w="50"/>
              <w:left w:type="dxa" w:w="110"/>
              <w:bottom w:type="dxa" w:w="50"/>
              <w:right w:type="dxa" w:w="110"/>
            </w:tcMar>
          </w:tcPr>
          <w:p>
            <w:pPr>
              <w:spacing w:before="26" w:after="26"/>
            </w:pPr>
            <w:r>
              <w:rPr>
                <w:color w:val="232733"/>
                <w:sz w:val="16"/>
                <w:szCs w:val="16"/>
              </w:rPr>
              <w:t xml:space="preserve">279,000</w:t>
            </w:r>
          </w:p>
        </w:tc>
        <w:tc>
          <w:tcPr>
            <w:tcW w:type="pct" w:w="1002"/>
            <w:tcMar>
              <w:top w:type="dxa" w:w="50"/>
              <w:left w:type="dxa" w:w="110"/>
              <w:bottom w:type="dxa" w:w="50"/>
              <w:right w:type="dxa" w:w="110"/>
            </w:tcMar>
          </w:tcPr>
          <w:p>
            <w:pPr>
              <w:spacing w:before="26" w:after="26"/>
            </w:pPr>
            <w:r>
              <w:rPr>
                <w:color w:val="232733"/>
                <w:sz w:val="16"/>
                <w:szCs w:val="16"/>
              </w:rPr>
              <w:t xml:space="preserve">97,633</w:t>
            </w:r>
          </w:p>
        </w:tc>
        <w:tc>
          <w:tcPr>
            <w:tcW w:type="pct" w:w="663"/>
            <w:tcMar>
              <w:top w:type="dxa" w:w="50"/>
              <w:left w:type="dxa" w:w="110"/>
              <w:bottom w:type="dxa" w:w="50"/>
              <w:right w:type="dxa" w:w="110"/>
            </w:tcMar>
          </w:tcPr>
          <w:p>
            <w:pPr>
              <w:spacing w:before="26" w:after="26"/>
            </w:pPr>
            <w:r>
              <w:rPr>
                <w:color w:val="232733"/>
                <w:sz w:val="16"/>
                <w:szCs w:val="16"/>
              </w:rPr>
              <w:t xml:space="preserve">274,367</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method does the book pair with “100,000”?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Average (weighted / moving)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6.  </w:t>
      </w:r>
      <w:r>
        <w:rPr>
          <w:sz w:val="19"/>
          <w:szCs w:val="19"/>
        </w:rPr>
        <w:t xml:space="preserve">Which method does the book pair with “84,000”?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Average (weighted / moving)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7.  </w:t>
      </w:r>
      <w:r>
        <w:rPr>
          <w:sz w:val="19"/>
          <w:szCs w:val="19"/>
        </w:rPr>
        <w:t xml:space="preserve">Which method does the book pair with “93,000”?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LIFO</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Average (weighted / moving)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30" w:after="30"/>
        <w:ind w:left="300" w:hanging="300"/>
      </w:pPr>
      <w:r>
        <w:rPr>
          <w:b/>
          <w:bCs/>
          <w:color w:val="353A7C"/>
          <w:sz w:val="19"/>
          <w:szCs w:val="19"/>
        </w:rPr>
        <w:t xml:space="preserve">8.  </w:t>
      </w:r>
      <w:r>
        <w:rPr>
          <w:sz w:val="19"/>
          <w:szCs w:val="19"/>
        </w:rPr>
        <w:t xml:space="preserve">The book gives the Perpetual: COGS of FIFO as “272,000”.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9.  </w:t>
      </w:r>
      <w:r>
        <w:rPr>
          <w:sz w:val="19"/>
          <w:szCs w:val="19"/>
        </w:rPr>
        <w:t xml:space="preserve">The book gives the Perpetual: COGS of LIFO as “274,367”.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714"/>
        <w:gridCol w:w="1825"/>
        <w:gridCol w:w="1053"/>
        <w:gridCol w:w="1890"/>
        <w:gridCol w:w="1118"/>
      </w:tblGrid>
      <w:tr>
        <w:tc>
          <w:tcPr>
            <w:tcW w:type="pct" w:w="1934"/>
            <w:shd w:fill="353A7C" w:val="clear"/>
            <w:tcMar>
              <w:top w:type="dxa" w:w="50"/>
              <w:left w:type="dxa" w:w="110"/>
              <w:bottom w:type="dxa" w:w="50"/>
              <w:right w:type="dxa" w:w="110"/>
            </w:tcMar>
          </w:tcPr>
          <w:p>
            <w:pPr>
              <w:spacing w:before="34" w:after="34"/>
            </w:pPr>
            <w:r>
              <w:rPr>
                <w:b/>
                <w:bCs/>
                <w:color w:val="FFFFFF"/>
                <w:sz w:val="15"/>
                <w:szCs w:val="15"/>
              </w:rPr>
              <w:t xml:space="preserve">Method</w:t>
            </w:r>
          </w:p>
        </w:tc>
        <w:tc>
          <w:tcPr>
            <w:tcW w:type="pct" w:w="951"/>
            <w:shd w:fill="353A7C" w:val="clear"/>
            <w:tcMar>
              <w:top w:type="dxa" w:w="50"/>
              <w:left w:type="dxa" w:w="110"/>
              <w:bottom w:type="dxa" w:w="50"/>
              <w:right w:type="dxa" w:w="110"/>
            </w:tcMar>
          </w:tcPr>
          <w:p>
            <w:pPr>
              <w:spacing w:before="34" w:after="34"/>
            </w:pPr>
            <w:r>
              <w:rPr>
                <w:b/>
                <w:bCs/>
                <w:color w:val="FFFFFF"/>
                <w:sz w:val="15"/>
                <w:szCs w:val="15"/>
              </w:rPr>
              <w:t xml:space="preserve">Periodic: ending inventory</w:t>
            </w:r>
          </w:p>
        </w:tc>
        <w:tc>
          <w:tcPr>
            <w:tcW w:type="pct" w:w="549"/>
            <w:shd w:fill="353A7C" w:val="clear"/>
            <w:tcMar>
              <w:top w:type="dxa" w:w="50"/>
              <w:left w:type="dxa" w:w="110"/>
              <w:bottom w:type="dxa" w:w="50"/>
              <w:right w:type="dxa" w:w="110"/>
            </w:tcMar>
          </w:tcPr>
          <w:p>
            <w:pPr>
              <w:spacing w:before="34" w:after="34"/>
            </w:pPr>
            <w:r>
              <w:rPr>
                <w:b/>
                <w:bCs/>
                <w:color w:val="FFFFFF"/>
                <w:sz w:val="15"/>
                <w:szCs w:val="15"/>
              </w:rPr>
              <w:t xml:space="preserve">Periodic: COGS</w:t>
            </w:r>
          </w:p>
        </w:tc>
        <w:tc>
          <w:tcPr>
            <w:tcW w:type="pct" w:w="984"/>
            <w:shd w:fill="353A7C" w:val="clear"/>
            <w:tcMar>
              <w:top w:type="dxa" w:w="50"/>
              <w:left w:type="dxa" w:w="110"/>
              <w:bottom w:type="dxa" w:w="50"/>
              <w:right w:type="dxa" w:w="110"/>
            </w:tcMar>
          </w:tcPr>
          <w:p>
            <w:pPr>
              <w:spacing w:before="34" w:after="34"/>
            </w:pPr>
            <w:r>
              <w:rPr>
                <w:b/>
                <w:bCs/>
                <w:color w:val="FFFFFF"/>
                <w:sz w:val="15"/>
                <w:szCs w:val="15"/>
              </w:rPr>
              <w:t xml:space="preserve">Perpetual: ending inventory</w:t>
            </w:r>
          </w:p>
        </w:tc>
        <w:tc>
          <w:tcPr>
            <w:tcW w:type="pct" w:w="582"/>
            <w:shd w:fill="353A7C" w:val="clear"/>
            <w:tcMar>
              <w:top w:type="dxa" w:w="50"/>
              <w:left w:type="dxa" w:w="110"/>
              <w:bottom w:type="dxa" w:w="50"/>
              <w:right w:type="dxa" w:w="110"/>
            </w:tcMar>
          </w:tcPr>
          <w:p>
            <w:pPr>
              <w:spacing w:before="34" w:after="34"/>
            </w:pPr>
            <w:r>
              <w:rPr>
                <w:b/>
                <w:bCs/>
                <w:color w:val="FFFFFF"/>
                <w:sz w:val="15"/>
                <w:szCs w:val="15"/>
              </w:rPr>
              <w:t xml:space="preserve">Perpetual: COGS</w:t>
            </w:r>
          </w:p>
        </w:tc>
      </w:tr>
      <w:tr>
        <w:tc>
          <w:tcPr>
            <w:tcW w:type="pct" w:w="1934"/>
            <w:tcMar>
              <w:top w:type="dxa" w:w="50"/>
              <w:left w:type="dxa" w:w="110"/>
              <w:bottom w:type="dxa" w:w="50"/>
              <w:right w:type="dxa" w:w="110"/>
            </w:tcMar>
          </w:tcPr>
          <w:p>
            <w:pPr>
              <w:spacing w:before="32" w:after="32"/>
            </w:pPr>
            <w:r>
              <w:rPr>
                <w:sz w:val="16"/>
                <w:szCs w:val="16"/>
              </w:rPr>
              <w:t xml:space="preserve">FIFO</w:t>
            </w:r>
          </w:p>
        </w:tc>
        <w:tc>
          <w:tcPr>
            <w:tcW w:type="pct" w:w="951"/>
            <w:tcMar>
              <w:top w:type="dxa" w:w="50"/>
              <w:left w:type="dxa" w:w="110"/>
              <w:bottom w:type="dxa" w:w="50"/>
              <w:right w:type="dxa" w:w="110"/>
            </w:tcMar>
          </w:tcPr>
          <w:p>
            <w:pPr>
              <w:spacing w:before="32" w:after="32"/>
            </w:pPr>
            <w:r>
              <w:rPr>
                <w:sz w:val="16"/>
                <w:szCs w:val="16"/>
              </w:rPr>
              <w:t xml:space="preserve">100,000</w:t>
            </w:r>
          </w:p>
        </w:tc>
        <w:tc>
          <w:tcPr>
            <w:tcW w:type="pct" w:w="549"/>
            <w:tcMar>
              <w:top w:type="dxa" w:w="50"/>
              <w:left w:type="dxa" w:w="110"/>
              <w:bottom w:type="dxa" w:w="50"/>
              <w:right w:type="dxa" w:w="110"/>
            </w:tcMar>
          </w:tcPr>
          <w:p>
            <w:pPr>
              <w:spacing w:before="32" w:after="32"/>
            </w:pPr>
            <w:r>
              <w:rPr>
                <w:sz w:val="16"/>
                <w:szCs w:val="16"/>
              </w:rPr>
              <w:t xml:space="preserve">272,000</w:t>
            </w:r>
          </w:p>
        </w:tc>
        <w:tc>
          <w:tcPr>
            <w:tcW w:type="pct" w:w="984"/>
            <w:tcMar>
              <w:top w:type="dxa" w:w="50"/>
              <w:left w:type="dxa" w:w="110"/>
              <w:bottom w:type="dxa" w:w="50"/>
              <w:right w:type="dxa" w:w="110"/>
            </w:tcMar>
          </w:tcPr>
          <w:p>
            <w:pPr>
              <w:spacing w:before="32" w:after="32"/>
            </w:pPr>
            <w:r>
              <w:rPr>
                <w:sz w:val="16"/>
                <w:szCs w:val="16"/>
              </w:rPr>
              <w:t xml:space="preserve">100,000</w:t>
            </w:r>
          </w:p>
        </w:tc>
        <w:tc>
          <w:tcPr>
            <w:tcW w:type="pct" w:w="582"/>
            <w:tcMar>
              <w:top w:type="dxa" w:w="50"/>
              <w:left w:type="dxa" w:w="110"/>
              <w:bottom w:type="dxa" w:w="50"/>
              <w:right w:type="dxa" w:w="110"/>
            </w:tcMar>
          </w:tcPr>
          <w:p>
            <w:pPr>
              <w:spacing w:before="32" w:after="32"/>
            </w:pPr>
            <w:r>
              <w:rPr>
                <w:sz w:val="16"/>
                <w:szCs w:val="16"/>
              </w:rPr>
              <w:t xml:space="preserve">272,000</w:t>
            </w:r>
          </w:p>
        </w:tc>
      </w:tr>
      <w:tr>
        <w:tc>
          <w:tcPr>
            <w:tcW w:type="pct" w:w="1934"/>
            <w:shd w:fill="FBFAF6" w:val="clear"/>
            <w:tcMar>
              <w:top w:type="dxa" w:w="50"/>
              <w:left w:type="dxa" w:w="110"/>
              <w:bottom w:type="dxa" w:w="50"/>
              <w:right w:type="dxa" w:w="110"/>
            </w:tcMar>
          </w:tcPr>
          <w:p>
            <w:pPr>
              <w:spacing w:before="32" w:after="32"/>
            </w:pPr>
            <w:r>
              <w:rPr>
                <w:sz w:val="16"/>
                <w:szCs w:val="16"/>
              </w:rPr>
              <w:t xml:space="preserve">LIFO</w:t>
            </w:r>
          </w:p>
        </w:tc>
        <w:tc>
          <w:tcPr>
            <w:tcW w:type="pct" w:w="951"/>
            <w:shd w:fill="FFFFFF" w:val="clear"/>
            <w:tcMar>
              <w:top w:type="dxa" w:w="50"/>
              <w:left w:type="dxa" w:w="110"/>
              <w:bottom w:type="dxa" w:w="50"/>
              <w:right w:type="dxa" w:w="110"/>
            </w:tcMar>
          </w:tcPr>
          <w:p>
            <w:pPr>
              <w:spacing w:before="54" w:after="54"/>
            </w:pPr>
            <w:r>
              <w:rPr>
                <w:sz w:val="18"/>
                <w:szCs w:val="18"/>
              </w:rPr>
              <w:t xml:space="preserve"/>
            </w:r>
          </w:p>
        </w:tc>
        <w:tc>
          <w:tcPr>
            <w:tcW w:type="pct" w:w="549"/>
            <w:shd w:fill="FFFFFF" w:val="clear"/>
            <w:tcMar>
              <w:top w:type="dxa" w:w="50"/>
              <w:left w:type="dxa" w:w="110"/>
              <w:bottom w:type="dxa" w:w="50"/>
              <w:right w:type="dxa" w:w="110"/>
            </w:tcMar>
          </w:tcPr>
          <w:p>
            <w:pPr>
              <w:spacing w:before="54" w:after="54"/>
            </w:pPr>
            <w:r>
              <w:rPr>
                <w:sz w:val="18"/>
                <w:szCs w:val="18"/>
              </w:rPr>
              <w:t xml:space="preserve"/>
            </w:r>
          </w:p>
        </w:tc>
        <w:tc>
          <w:tcPr>
            <w:tcW w:type="pct" w:w="984"/>
            <w:shd w:fill="FFFFFF" w:val="clear"/>
            <w:tcMar>
              <w:top w:type="dxa" w:w="50"/>
              <w:left w:type="dxa" w:w="110"/>
              <w:bottom w:type="dxa" w:w="50"/>
              <w:right w:type="dxa" w:w="110"/>
            </w:tcMar>
          </w:tcPr>
          <w:p>
            <w:pPr>
              <w:spacing w:before="54" w:after="54"/>
            </w:pPr>
            <w:r>
              <w:rPr>
                <w:sz w:val="18"/>
                <w:szCs w:val="18"/>
              </w:rPr>
              <w:t xml:space="preserve"/>
            </w:r>
          </w:p>
        </w:tc>
        <w:tc>
          <w:tcPr>
            <w:tcW w:type="pct" w:w="582"/>
            <w:shd w:fill="FFFFFF" w:val="clear"/>
            <w:tcMar>
              <w:top w:type="dxa" w:w="50"/>
              <w:left w:type="dxa" w:w="110"/>
              <w:bottom w:type="dxa" w:w="50"/>
              <w:right w:type="dxa" w:w="110"/>
            </w:tcMar>
          </w:tcPr>
          <w:p>
            <w:pPr>
              <w:spacing w:before="54" w:after="54"/>
            </w:pPr>
            <w:r>
              <w:rPr>
                <w:sz w:val="18"/>
                <w:szCs w:val="18"/>
              </w:rPr>
              <w:t xml:space="preserve"/>
            </w:r>
          </w:p>
        </w:tc>
      </w:tr>
      <w:tr>
        <w:tc>
          <w:tcPr>
            <w:tcW w:type="pct" w:w="1934"/>
            <w:tcMar>
              <w:top w:type="dxa" w:w="50"/>
              <w:left w:type="dxa" w:w="110"/>
              <w:bottom w:type="dxa" w:w="50"/>
              <w:right w:type="dxa" w:w="110"/>
            </w:tcMar>
          </w:tcPr>
          <w:p>
            <w:pPr>
              <w:spacing w:before="32" w:after="32"/>
            </w:pPr>
            <w:r>
              <w:rPr>
                <w:sz w:val="16"/>
                <w:szCs w:val="16"/>
              </w:rPr>
              <w:t xml:space="preserve">Average (weighted / moving)</w:t>
            </w:r>
          </w:p>
        </w:tc>
        <w:tc>
          <w:tcPr>
            <w:tcW w:type="pct" w:w="951"/>
            <w:shd w:fill="FFFFFF" w:val="clear"/>
            <w:tcMar>
              <w:top w:type="dxa" w:w="50"/>
              <w:left w:type="dxa" w:w="110"/>
              <w:bottom w:type="dxa" w:w="50"/>
              <w:right w:type="dxa" w:w="110"/>
            </w:tcMar>
          </w:tcPr>
          <w:p>
            <w:pPr>
              <w:spacing w:before="54" w:after="54"/>
            </w:pPr>
            <w:r>
              <w:rPr>
                <w:sz w:val="18"/>
                <w:szCs w:val="18"/>
              </w:rPr>
              <w:t xml:space="preserve"/>
            </w:r>
          </w:p>
        </w:tc>
        <w:tc>
          <w:tcPr>
            <w:tcW w:type="pct" w:w="549"/>
            <w:shd w:fill="FFFFFF" w:val="clear"/>
            <w:tcMar>
              <w:top w:type="dxa" w:w="50"/>
              <w:left w:type="dxa" w:w="110"/>
              <w:bottom w:type="dxa" w:w="50"/>
              <w:right w:type="dxa" w:w="110"/>
            </w:tcMar>
          </w:tcPr>
          <w:p>
            <w:pPr>
              <w:spacing w:before="54" w:after="54"/>
            </w:pPr>
            <w:r>
              <w:rPr>
                <w:sz w:val="18"/>
                <w:szCs w:val="18"/>
              </w:rPr>
              <w:t xml:space="preserve"/>
            </w:r>
          </w:p>
        </w:tc>
        <w:tc>
          <w:tcPr>
            <w:tcW w:type="pct" w:w="984"/>
            <w:shd w:fill="FFFFFF" w:val="clear"/>
            <w:tcMar>
              <w:top w:type="dxa" w:w="50"/>
              <w:left w:type="dxa" w:w="110"/>
              <w:bottom w:type="dxa" w:w="50"/>
              <w:right w:type="dxa" w:w="110"/>
            </w:tcMar>
          </w:tcPr>
          <w:p>
            <w:pPr>
              <w:spacing w:before="54" w:after="54"/>
            </w:pPr>
            <w:r>
              <w:rPr>
                <w:sz w:val="18"/>
                <w:szCs w:val="18"/>
              </w:rPr>
              <w:t xml:space="preserve"/>
            </w:r>
          </w:p>
        </w:tc>
        <w:tc>
          <w:tcPr>
            <w:tcW w:type="pct" w:w="582"/>
            <w:shd w:fill="FFFFFF" w:val="clear"/>
            <w:tcMar>
              <w:top w:type="dxa" w:w="50"/>
              <w:left w:type="dxa" w:w="110"/>
              <w:bottom w:type="dxa" w:w="50"/>
              <w:right w:type="dxa" w:w="110"/>
            </w:tcMar>
          </w:tcPr>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12.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consignee  ·  periodic inventory system  ·  cost of goods sold  ·  freight-in</w:t>
            </w:r>
          </w:p>
          <w:p>
            <w:pPr>
              <w:spacing w:before="26" w:after="26"/>
              <w:ind w:left="200"/>
            </w:pPr>
            <w:r>
              <w:rPr>
                <w:sz w:val="19"/>
                <w:szCs w:val="19"/>
              </w:rPr>
              <w:t xml:space="preserve">In a </w:t>
            </w:r>
            <w:r>
              <w:rPr>
                <w:u w:val="single"/>
                <w:sz w:val="19"/>
                <w:szCs w:val="19"/>
              </w:rPr>
              <w:t xml:space="preserve">                           </w:t>
            </w:r>
            <w:r>
              <w:rPr>
                <w:sz w:val="19"/>
                <w:szCs w:val="19"/>
              </w:rPr>
              <w:t xml:space="preserve">, the company counts the goods at year-end and calculates </w:t>
            </w:r>
            <w:r>
              <w:rPr>
                <w:u w:val="single"/>
                <w:sz w:val="19"/>
                <w:szCs w:val="19"/>
              </w:rPr>
              <w:t xml:space="preserve">                    </w:t>
            </w:r>
            <w:r>
              <w:rPr>
                <w:sz w:val="19"/>
                <w:szCs w:val="19"/>
              </w:rPr>
              <w:t xml:space="preserve"> for the whole period.</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FIFO</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LIFO</w:t>
            </w:r>
          </w:p>
        </w:tc>
      </w:tr>
      <w:tr>
        <w:tc>
          <w:tcPr>
            <w:tcW w:type="pct" w:w="2500"/>
            <w:tcMar>
              <w:top w:type="dxa" w:w="50"/>
              <w:left w:type="dxa" w:w="110"/>
              <w:bottom w:type="dxa" w:w="50"/>
              <w:right w:type="dxa" w:w="110"/>
            </w:tcMar>
          </w:tcPr>
          <w:p>
            <w:pPr>
              <w:spacing w:before="26" w:after="26"/>
            </w:pPr>
            <w:r>
              <w:rPr>
                <w:sz w:val="16"/>
                <w:szCs w:val="16"/>
              </w:rPr>
              <w:t xml:space="preserve">Periodic: ending inventory: 100,000</w:t>
            </w:r>
          </w:p>
        </w:tc>
        <w:tc>
          <w:tcPr>
            <w:tcW w:type="pct" w:w="2500"/>
            <w:tcMar>
              <w:top w:type="dxa" w:w="50"/>
              <w:left w:type="dxa" w:w="110"/>
              <w:bottom w:type="dxa" w:w="50"/>
              <w:right w:type="dxa" w:w="110"/>
            </w:tcMar>
          </w:tcPr>
          <w:p>
            <w:pPr>
              <w:spacing w:before="26" w:after="26"/>
            </w:pPr>
            <w:r>
              <w:rPr>
                <w:sz w:val="16"/>
                <w:szCs w:val="16"/>
              </w:rPr>
              <w:t xml:space="preserve">Periodic: ending inventory: 84,000</w:t>
            </w:r>
          </w:p>
        </w:tc>
      </w:tr>
      <w:tr>
        <w:tc>
          <w:tcPr>
            <w:tcW w:type="pct" w:w="2500"/>
            <w:tcMar>
              <w:top w:type="dxa" w:w="50"/>
              <w:left w:type="dxa" w:w="110"/>
              <w:bottom w:type="dxa" w:w="50"/>
              <w:right w:type="dxa" w:w="110"/>
            </w:tcMar>
          </w:tcPr>
          <w:p>
            <w:pPr>
              <w:spacing w:before="26" w:after="26"/>
            </w:pPr>
            <w:r>
              <w:rPr>
                <w:sz w:val="16"/>
                <w:szCs w:val="16"/>
              </w:rPr>
              <w:t xml:space="preserve">Periodic: COGS: 272,000</w:t>
            </w:r>
          </w:p>
        </w:tc>
        <w:tc>
          <w:tcPr>
            <w:tcW w:type="pct" w:w="2500"/>
            <w:tcMar>
              <w:top w:type="dxa" w:w="50"/>
              <w:left w:type="dxa" w:w="110"/>
              <w:bottom w:type="dxa" w:w="50"/>
              <w:right w:type="dxa" w:w="110"/>
            </w:tcMar>
          </w:tcPr>
          <w:p>
            <w:pPr>
              <w:spacing w:before="26" w:after="26"/>
            </w:pPr>
            <w:r>
              <w:rPr>
                <w:sz w:val="16"/>
                <w:szCs w:val="16"/>
              </w:rPr>
              <w:t xml:space="preserve">Periodic: COGS: 288,000</w:t>
            </w:r>
          </w:p>
        </w:tc>
      </w:tr>
      <w:tr>
        <w:tc>
          <w:tcPr>
            <w:tcW w:type="pct" w:w="2500"/>
            <w:tcMar>
              <w:top w:type="dxa" w:w="50"/>
              <w:left w:type="dxa" w:w="110"/>
              <w:bottom w:type="dxa" w:w="50"/>
              <w:right w:type="dxa" w:w="110"/>
            </w:tcMar>
          </w:tcPr>
          <w:p>
            <w:pPr>
              <w:spacing w:before="26" w:after="26"/>
            </w:pPr>
            <w:r>
              <w:rPr>
                <w:sz w:val="16"/>
                <w:szCs w:val="16"/>
              </w:rPr>
              <w:t xml:space="preserve">Perpetual: ending inventory: 100,000</w:t>
            </w:r>
          </w:p>
        </w:tc>
        <w:tc>
          <w:tcPr>
            <w:tcW w:type="pct" w:w="2500"/>
            <w:tcMar>
              <w:top w:type="dxa" w:w="50"/>
              <w:left w:type="dxa" w:w="110"/>
              <w:bottom w:type="dxa" w:w="50"/>
              <w:right w:type="dxa" w:w="110"/>
            </w:tcMar>
          </w:tcPr>
          <w:p>
            <w:pPr>
              <w:spacing w:before="26" w:after="26"/>
            </w:pPr>
            <w:r>
              <w:rPr>
                <w:sz w:val="16"/>
                <w:szCs w:val="16"/>
              </w:rPr>
              <w:t xml:space="preserve">Perpetual: ending inventory: 93,000</w:t>
            </w:r>
          </w:p>
        </w:tc>
      </w:tr>
    </w:tbl>
    <w:p>
      <w:pPr>
        <w:spacing w:before="36" w:after="16"/>
      </w:pPr>
      <w:r>
        <w:rPr>
          <w:sz w:val="18"/>
          <w:szCs w:val="18"/>
        </w:rPr>
        <w:t xml:space="preserve">Only the facts above differ. What is the perpetual: cogs of FIFO?</w:t>
      </w:r>
    </w:p>
    <w:p>
      <w:pPr>
        <w:spacing w:before="40" w:after="16"/>
        <w:ind w:left="300" w:hanging="300"/>
      </w:pPr>
      <w:r>
        <w:rPr>
          <w:b/>
          <w:bCs/>
          <w:color w:val="353A7C"/>
          <w:sz w:val="19"/>
          <w:szCs w:val="19"/>
        </w:rPr>
        <w:t xml:space="preserve">13.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274,367</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272,000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279,000</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14.  </w:t>
      </w:r>
      <w:r>
        <w:rPr>
          <w:sz w:val="19"/>
          <w:szCs w:val="19"/>
        </w:rPr>
        <w:t xml:space="preserve">The tax rate is 25%. Ending inventory was overstated by 40. By how much is net income overstated in that year?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w:t>
            </w:r>
          </w:p>
        </w:tc>
      </w:tr>
    </w:tbl>
    <w:p>
      <w:pPr>
        <w:spacing w:before="40" w:after="16"/>
        <w:ind w:left="300" w:hanging="300"/>
      </w:pPr>
      <w:r>
        <w:rPr>
          <w:b/>
          <w:bCs/>
          <w:color w:val="353A7C"/>
          <w:sz w:val="19"/>
          <w:szCs w:val="19"/>
        </w:rPr>
        <w:t xml:space="preserve">15.  </w:t>
      </w:r>
      <w:r>
        <w:rPr>
          <w:sz w:val="19"/>
          <w:szCs w:val="19"/>
        </w:rPr>
        <w:t xml:space="preserve">Ending inventory for 2026 is understated by 15. Inventory for 2025 was correct. What is the effect on 2026 cost of goods sold?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Understated by 15</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Overstated by 15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 effect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Overstated by 30</w:t>
            </w:r>
          </w:p>
        </w:tc>
      </w:tr>
    </w:tbl>
    <w:p>
      <w:pPr>
        <w:spacing w:before="40" w:after="16"/>
        <w:ind w:left="300" w:hanging="300"/>
      </w:pPr>
      <w:r>
        <w:rPr>
          <w:b/>
          <w:bCs/>
          <w:color w:val="353A7C"/>
          <w:sz w:val="19"/>
          <w:szCs w:val="19"/>
        </w:rPr>
        <w:t xml:space="preserve">16.  </w:t>
      </w:r>
      <w:r>
        <w:rPr>
          <w:sz w:val="19"/>
          <w:szCs w:val="19"/>
        </w:rPr>
        <w:t xml:space="preserve">Spiral review (Chapter 1). Orontes buys olives on account. What is the effect immediately after the purchase?</w:t>
      </w:r>
    </w:p>
    <w:p>
      <w:pPr>
        <w:spacing w:after="18"/>
        <w:ind w:left="560" w:hanging="260"/>
      </w:pPr>
      <w:r>
        <w:rPr>
          <w:b/>
          <w:bCs/>
          <w:color w:val="8186EF"/>
          <w:sz w:val="18"/>
          <w:szCs w:val="18"/>
        </w:rPr>
        <w:t xml:space="preserve">A. </w:t>
      </w:r>
      <w:r>
        <w:rPr>
          <w:sz w:val="18"/>
          <w:szCs w:val="18"/>
        </w:rPr>
        <w:t xml:space="preserve">Assets increase and liabilities increase.</w:t>
      </w:r>
    </w:p>
    <w:p>
      <w:pPr>
        <w:spacing w:after="18"/>
        <w:ind w:left="560" w:hanging="260"/>
      </w:pPr>
      <w:r>
        <w:rPr>
          <w:b/>
          <w:bCs/>
          <w:color w:val="8186EF"/>
          <w:sz w:val="18"/>
          <w:szCs w:val="18"/>
        </w:rPr>
        <w:t xml:space="preserve">B. </w:t>
      </w:r>
      <w:r>
        <w:rPr>
          <w:sz w:val="18"/>
          <w:szCs w:val="18"/>
        </w:rPr>
        <w:t xml:space="preserve">Expenses increase and net income decreases.</w:t>
      </w:r>
    </w:p>
    <w:p>
      <w:pPr>
        <w:spacing w:after="18"/>
        <w:ind w:left="560" w:hanging="260"/>
      </w:pPr>
      <w:r>
        <w:rPr>
          <w:b/>
          <w:bCs/>
          <w:color w:val="8186EF"/>
          <w:sz w:val="18"/>
          <w:szCs w:val="18"/>
        </w:rPr>
        <w:t xml:space="preserve">C. </w:t>
      </w:r>
      <w:r>
        <w:rPr>
          <w:sz w:val="18"/>
          <w:szCs w:val="18"/>
        </w:rPr>
        <w:t xml:space="preserve">Assets increase and equity increases.</w:t>
      </w:r>
    </w:p>
    <w:p>
      <w:pPr>
        <w:spacing w:after="18"/>
        <w:ind w:left="560" w:hanging="260"/>
      </w:pPr>
      <w:r>
        <w:rPr>
          <w:b/>
          <w:bCs/>
          <w:color w:val="8186EF"/>
          <w:sz w:val="18"/>
          <w:szCs w:val="18"/>
        </w:rPr>
        <w:t xml:space="preserve">D. </w:t>
      </w:r>
      <w:r>
        <w:rPr>
          <w:sz w:val="18"/>
          <w:szCs w:val="18"/>
        </w:rPr>
        <w:t xml:space="preserve">There is no effect until Orontes pays.</w:t>
      </w:r>
    </w:p>
    <w:p>
      <w:pPr>
        <w:spacing w:before="40" w:after="16"/>
        <w:ind w:left="300" w:hanging="300"/>
      </w:pPr>
      <w:r>
        <w:rPr>
          <w:b/>
          <w:bCs/>
          <w:color w:val="353A7C"/>
          <w:sz w:val="19"/>
          <w:szCs w:val="19"/>
        </w:rPr>
        <w:t xml:space="preserve">17.  </w:t>
      </w:r>
      <w:r>
        <w:rPr>
          <w:sz w:val="19"/>
          <w:szCs w:val="19"/>
        </w:rPr>
        <w:t xml:space="preserve">Spiral review (Chapter 1). Orontes records cost of goods sold at the same time as the related sales revenue. Which approach does this follow?</w:t>
      </w:r>
    </w:p>
    <w:p>
      <w:pPr>
        <w:spacing w:after="18"/>
        <w:ind w:left="560" w:hanging="260"/>
      </w:pPr>
      <w:r>
        <w:rPr>
          <w:b/>
          <w:bCs/>
          <w:color w:val="8186EF"/>
          <w:sz w:val="18"/>
          <w:szCs w:val="18"/>
        </w:rPr>
        <w:t xml:space="preserve">A. </w:t>
      </w:r>
      <w:r>
        <w:rPr>
          <w:sz w:val="18"/>
          <w:szCs w:val="18"/>
        </w:rPr>
        <w:t xml:space="preserve">Systematic and rational allocation</w:t>
      </w:r>
    </w:p>
    <w:p>
      <w:pPr>
        <w:spacing w:after="18"/>
        <w:ind w:left="560" w:hanging="260"/>
      </w:pPr>
      <w:r>
        <w:rPr>
          <w:b/>
          <w:bCs/>
          <w:color w:val="8186EF"/>
          <w:sz w:val="18"/>
          <w:szCs w:val="18"/>
        </w:rPr>
        <w:t xml:space="preserve">B. </w:t>
      </w:r>
      <w:r>
        <w:rPr>
          <w:sz w:val="18"/>
          <w:szCs w:val="18"/>
        </w:rPr>
        <w:t xml:space="preserve">Matching by cause and effect</w:t>
      </w:r>
    </w:p>
    <w:p>
      <w:pPr>
        <w:spacing w:after="18"/>
        <w:ind w:left="560" w:hanging="260"/>
      </w:pPr>
      <w:r>
        <w:rPr>
          <w:b/>
          <w:bCs/>
          <w:color w:val="8186EF"/>
          <w:sz w:val="18"/>
          <w:szCs w:val="18"/>
        </w:rPr>
        <w:t xml:space="preserve">C. </w:t>
      </w:r>
      <w:r>
        <w:rPr>
          <w:sz w:val="18"/>
          <w:szCs w:val="18"/>
        </w:rPr>
        <w:t xml:space="preserve">Immediate recognition</w:t>
      </w:r>
    </w:p>
    <w:p>
      <w:pPr>
        <w:spacing w:after="18"/>
        <w:ind w:left="560" w:hanging="260"/>
      </w:pPr>
      <w:r>
        <w:rPr>
          <w:b/>
          <w:bCs/>
          <w:color w:val="8186EF"/>
          <w:sz w:val="18"/>
          <w:szCs w:val="18"/>
        </w:rPr>
        <w:t xml:space="preserve">D. </w:t>
      </w:r>
      <w:r>
        <w:rPr>
          <w:sz w:val="18"/>
          <w:szCs w:val="18"/>
        </w:rPr>
        <w:t xml:space="preserve">The cash basis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The tax rate is 25%. Ending inventory was overstated by 40. By how much is net income overstated in that year?</w:t>
            </w:r>
          </w:p>
          <w:p>
            <w:pPr>
              <w:spacing w:after="16"/>
              <w:ind w:left="500" w:hanging="200"/>
            </w:pPr>
            <w:r>
              <w:rPr>
                <w:b/>
                <w:bCs/>
                <w:color w:val="8186EF"/>
                <w:sz w:val="18"/>
                <w:szCs w:val="18"/>
              </w:rPr>
              <w:t xml:space="preserve">A. </w:t>
            </w:r>
            <w:r>
              <w:rPr>
                <w:sz w:val="18"/>
                <w:szCs w:val="18"/>
              </w:rPr>
              <w:t xml:space="preserve">10</w:t>
            </w:r>
          </w:p>
          <w:p>
            <w:pPr>
              <w:spacing w:after="16"/>
              <w:ind w:left="500" w:hanging="200"/>
            </w:pPr>
            <w:r>
              <w:rPr>
                <w:b/>
                <w:bCs/>
                <w:color w:val="8186EF"/>
                <w:sz w:val="18"/>
                <w:szCs w:val="18"/>
              </w:rPr>
              <w:t xml:space="preserve">B. </w:t>
            </w:r>
            <w:r>
              <w:rPr>
                <w:sz w:val="18"/>
                <w:szCs w:val="18"/>
              </w:rPr>
              <w:t xml:space="preserve">30</w:t>
            </w:r>
          </w:p>
          <w:p>
            <w:pPr>
              <w:spacing w:after="16"/>
              <w:ind w:left="500" w:hanging="200"/>
            </w:pPr>
            <w:r>
              <w:rPr>
                <w:b/>
                <w:bCs/>
                <w:color w:val="8186EF"/>
                <w:sz w:val="18"/>
                <w:szCs w:val="18"/>
              </w:rPr>
              <w:t xml:space="preserve">C. </w:t>
            </w:r>
            <w:r>
              <w:rPr>
                <w:sz w:val="18"/>
                <w:szCs w:val="18"/>
              </w:rPr>
              <w:t xml:space="preserve">40</w:t>
            </w:r>
          </w:p>
          <w:p>
            <w:pPr>
              <w:spacing w:after="16"/>
              <w:ind w:left="500" w:hanging="200"/>
            </w:pPr>
            <w:r>
              <w:rPr>
                <w:b/>
                <w:bCs/>
                <w:color w:val="8186EF"/>
                <w:sz w:val="18"/>
                <w:szCs w:val="18"/>
              </w:rPr>
              <w:t xml:space="preserve">D. </w:t>
            </w:r>
            <w:r>
              <w:rPr>
                <w:sz w:val="18"/>
                <w:szCs w:val="18"/>
              </w:rPr>
              <w:t xml:space="preserve">50</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27"/>
        <w:gridCol w:w="4992"/>
        <w:gridCol w:w="1275"/>
        <w:gridCol w:w="140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Method — the book’s own table</w:t>
            </w:r>
          </w:p>
        </w:tc>
      </w:tr>
      <w:tr>
        <w:tc>
          <w:tcPr>
            <w:tcW w:type="pct" w:w="1003"/>
            <w:tcMar>
              <w:top w:type="dxa" w:w="50"/>
              <w:left w:type="dxa" w:w="110"/>
              <w:bottom w:type="dxa" w:w="50"/>
              <w:right w:type="dxa" w:w="110"/>
            </w:tcMar>
          </w:tcPr>
          <w:p>
            <w:pPr>
              <w:spacing w:before="26" w:after="26"/>
            </w:pPr>
            <w:r>
              <w:rPr>
                <w:b/>
                <w:bCs/>
                <w:color w:val="353A7C"/>
                <w:sz w:val="15"/>
                <w:szCs w:val="15"/>
              </w:rPr>
              <w:t xml:space="preserve">Method</w:t>
            </w:r>
          </w:p>
        </w:tc>
        <w:tc>
          <w:tcPr>
            <w:tcW w:type="pct" w:w="2600"/>
            <w:tcMar>
              <w:top w:type="dxa" w:w="50"/>
              <w:left w:type="dxa" w:w="110"/>
              <w:bottom w:type="dxa" w:w="50"/>
              <w:right w:type="dxa" w:w="110"/>
            </w:tcMar>
          </w:tcPr>
          <w:p>
            <w:pPr>
              <w:spacing w:before="26" w:after="26"/>
            </w:pPr>
            <w:r>
              <w:rPr>
                <w:b/>
                <w:bCs/>
                <w:color w:val="353A7C"/>
                <w:sz w:val="15"/>
                <w:szCs w:val="15"/>
              </w:rPr>
              <w:t xml:space="preserve">Ending inventory (cases left)</w:t>
            </w:r>
          </w:p>
        </w:tc>
        <w:tc>
          <w:tcPr>
            <w:tcW w:type="pct" w:w="664"/>
            <w:tcMar>
              <w:top w:type="dxa" w:w="50"/>
              <w:left w:type="dxa" w:w="110"/>
              <w:bottom w:type="dxa" w:w="50"/>
              <w:right w:type="dxa" w:w="110"/>
            </w:tcMar>
          </w:tcPr>
          <w:p>
            <w:pPr>
              <w:spacing w:before="26" w:after="26"/>
            </w:pPr>
            <w:r>
              <w:rPr>
                <w:b/>
                <w:bCs/>
                <w:color w:val="353A7C"/>
                <w:sz w:val="15"/>
                <w:szCs w:val="15"/>
              </w:rPr>
              <w:t xml:space="preserve">Ending inventory</w:t>
            </w:r>
          </w:p>
        </w:tc>
        <w:tc>
          <w:tcPr>
            <w:tcW w:type="pct" w:w="732"/>
            <w:tcMar>
              <w:top w:type="dxa" w:w="50"/>
              <w:left w:type="dxa" w:w="110"/>
              <w:bottom w:type="dxa" w:w="50"/>
              <w:right w:type="dxa" w:w="110"/>
            </w:tcMar>
          </w:tcPr>
          <w:p>
            <w:pPr>
              <w:spacing w:before="26" w:after="26"/>
            </w:pPr>
            <w:r>
              <w:rPr>
                <w:b/>
                <w:bCs/>
                <w:color w:val="353A7C"/>
                <w:sz w:val="15"/>
                <w:szCs w:val="15"/>
              </w:rPr>
              <w:t xml:space="preserve">Cost of goods sold</w:t>
            </w:r>
          </w:p>
        </w:tc>
      </w:tr>
      <w:tr>
        <w:tc>
          <w:tcPr>
            <w:tcW w:type="pct" w:w="1003"/>
            <w:tcMar>
              <w:top w:type="dxa" w:w="50"/>
              <w:left w:type="dxa" w:w="110"/>
              <w:bottom w:type="dxa" w:w="50"/>
              <w:right w:type="dxa" w:w="110"/>
            </w:tcMar>
          </w:tcPr>
          <w:p>
            <w:pPr>
              <w:spacing w:before="26" w:after="26"/>
            </w:pPr>
            <w:r>
              <w:rPr>
                <w:color w:val="232733"/>
                <w:sz w:val="16"/>
                <w:szCs w:val="16"/>
              </w:rPr>
              <w:t xml:space="preserve">FIFO</w:t>
            </w:r>
          </w:p>
        </w:tc>
        <w:tc>
          <w:tcPr>
            <w:tcW w:type="pct" w:w="2600"/>
            <w:tcMar>
              <w:top w:type="dxa" w:w="50"/>
              <w:left w:type="dxa" w:w="110"/>
              <w:bottom w:type="dxa" w:w="50"/>
              <w:right w:type="dxa" w:w="110"/>
            </w:tcMar>
          </w:tcPr>
          <w:p>
            <w:pPr>
              <w:spacing w:before="26" w:after="26"/>
            </w:pPr>
            <w:r>
              <w:rPr>
                <w:color w:val="232733"/>
                <w:sz w:val="16"/>
                <w:szCs w:val="16"/>
              </w:rPr>
              <w:t xml:space="preserve">the newest costs: 2,000 × $50</w:t>
            </w:r>
          </w:p>
        </w:tc>
        <w:tc>
          <w:tcPr>
            <w:tcW w:type="pct" w:w="664"/>
            <w:tcMar>
              <w:top w:type="dxa" w:w="50"/>
              <w:left w:type="dxa" w:w="110"/>
              <w:bottom w:type="dxa" w:w="50"/>
              <w:right w:type="dxa" w:w="110"/>
            </w:tcMar>
          </w:tcPr>
          <w:p>
            <w:pPr>
              <w:spacing w:before="26" w:after="26"/>
            </w:pPr>
            <w:r>
              <w:rPr>
                <w:color w:val="232733"/>
                <w:sz w:val="16"/>
                <w:szCs w:val="16"/>
              </w:rPr>
              <w:t xml:space="preserve">100,000</w:t>
            </w:r>
          </w:p>
        </w:tc>
        <w:tc>
          <w:tcPr>
            <w:tcW w:type="pct" w:w="732"/>
            <w:tcMar>
              <w:top w:type="dxa" w:w="50"/>
              <w:left w:type="dxa" w:w="110"/>
              <w:bottom w:type="dxa" w:w="50"/>
              <w:right w:type="dxa" w:w="110"/>
            </w:tcMar>
          </w:tcPr>
          <w:p>
            <w:pPr>
              <w:spacing w:before="26" w:after="26"/>
            </w:pPr>
            <w:r>
              <w:rPr>
                <w:color w:val="232733"/>
                <w:sz w:val="16"/>
                <w:szCs w:val="16"/>
              </w:rPr>
              <w:t xml:space="preserve">272,000</w:t>
            </w:r>
          </w:p>
        </w:tc>
      </w:tr>
      <w:tr>
        <w:tc>
          <w:tcPr>
            <w:tcW w:type="pct" w:w="1003"/>
            <w:shd w:fill="FBFAF6" w:val="clear"/>
            <w:tcMar>
              <w:top w:type="dxa" w:w="50"/>
              <w:left w:type="dxa" w:w="110"/>
              <w:bottom w:type="dxa" w:w="50"/>
              <w:right w:type="dxa" w:w="110"/>
            </w:tcMar>
          </w:tcPr>
          <w:p>
            <w:pPr>
              <w:spacing w:before="26" w:after="26"/>
            </w:pPr>
            <w:r>
              <w:rPr>
                <w:color w:val="232733"/>
                <w:sz w:val="16"/>
                <w:szCs w:val="16"/>
              </w:rPr>
              <w:t xml:space="preserve">LIFO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oldest costs: 1,000 × $40 + 1,000 × $44</w:t>
            </w:r>
          </w:p>
        </w:tc>
        <w:tc>
          <w:tcPr>
            <w:tcW w:type="pct" w:w="664"/>
            <w:shd w:fill="FBFAF6" w:val="clear"/>
            <w:tcMar>
              <w:top w:type="dxa" w:w="50"/>
              <w:left w:type="dxa" w:w="110"/>
              <w:bottom w:type="dxa" w:w="50"/>
              <w:right w:type="dxa" w:w="110"/>
            </w:tcMar>
          </w:tcPr>
          <w:p>
            <w:pPr>
              <w:spacing w:before="26" w:after="26"/>
            </w:pPr>
            <w:r>
              <w:rPr>
                <w:color w:val="232733"/>
                <w:sz w:val="16"/>
                <w:szCs w:val="16"/>
              </w:rPr>
              <w:t xml:space="preserve">84,000</w:t>
            </w:r>
          </w:p>
        </w:tc>
        <w:tc>
          <w:tcPr>
            <w:tcW w:type="pct" w:w="732"/>
            <w:shd w:fill="FBFAF6" w:val="clear"/>
            <w:tcMar>
              <w:top w:type="dxa" w:w="50"/>
              <w:left w:type="dxa" w:w="110"/>
              <w:bottom w:type="dxa" w:w="50"/>
              <w:right w:type="dxa" w:w="110"/>
            </w:tcMar>
          </w:tcPr>
          <w:p>
            <w:pPr>
              <w:spacing w:before="26" w:after="26"/>
            </w:pPr>
            <w:r>
              <w:rPr>
                <w:color w:val="232733"/>
                <w:sz w:val="16"/>
                <w:szCs w:val="16"/>
              </w:rPr>
              <w:t xml:space="preserve">288,000</w:t>
            </w:r>
          </w:p>
        </w:tc>
      </w:tr>
      <w:tr>
        <w:tc>
          <w:tcPr>
            <w:tcW w:type="pct" w:w="1003"/>
            <w:tcMar>
              <w:top w:type="dxa" w:w="50"/>
              <w:left w:type="dxa" w:w="110"/>
              <w:bottom w:type="dxa" w:w="50"/>
              <w:right w:type="dxa" w:w="110"/>
            </w:tcMar>
          </w:tcPr>
          <w:p>
            <w:pPr>
              <w:spacing w:before="26" w:after="26"/>
            </w:pPr>
            <w:r>
              <w:rPr>
                <w:color w:val="232733"/>
                <w:sz w:val="16"/>
                <w:szCs w:val="16"/>
              </w:rPr>
              <w:t xml:space="preserve">Weighted average</w:t>
            </w:r>
          </w:p>
        </w:tc>
        <w:tc>
          <w:tcPr>
            <w:tcW w:type="pct" w:w="2600"/>
            <w:tcMar>
              <w:top w:type="dxa" w:w="50"/>
              <w:left w:type="dxa" w:w="110"/>
              <w:bottom w:type="dxa" w:w="50"/>
              <w:right w:type="dxa" w:w="110"/>
            </w:tcMar>
          </w:tcPr>
          <w:p>
            <w:pPr>
              <w:spacing w:before="26" w:after="26"/>
            </w:pPr>
            <w:r>
              <w:rPr>
                <w:color w:val="232733"/>
                <w:sz w:val="16"/>
                <w:szCs w:val="16"/>
              </w:rPr>
              <w:t xml:space="preserve">2,000 × $46.50 (= 372,000 ÷ 8,000)</w:t>
            </w:r>
          </w:p>
        </w:tc>
        <w:tc>
          <w:tcPr>
            <w:tcW w:type="pct" w:w="664"/>
            <w:tcMar>
              <w:top w:type="dxa" w:w="50"/>
              <w:left w:type="dxa" w:w="110"/>
              <w:bottom w:type="dxa" w:w="50"/>
              <w:right w:type="dxa" w:w="110"/>
            </w:tcMar>
          </w:tcPr>
          <w:p>
            <w:pPr>
              <w:spacing w:before="26" w:after="26"/>
            </w:pPr>
            <w:r>
              <w:rPr>
                <w:color w:val="232733"/>
                <w:sz w:val="16"/>
                <w:szCs w:val="16"/>
              </w:rPr>
              <w:t xml:space="preserve">93,000</w:t>
            </w:r>
          </w:p>
        </w:tc>
        <w:tc>
          <w:tcPr>
            <w:tcW w:type="pct" w:w="732"/>
            <w:tcMar>
              <w:top w:type="dxa" w:w="50"/>
              <w:left w:type="dxa" w:w="110"/>
              <w:bottom w:type="dxa" w:w="50"/>
              <w:right w:type="dxa" w:w="110"/>
            </w:tcMar>
          </w:tcPr>
          <w:p>
            <w:pPr>
              <w:spacing w:before="26" w:after="26"/>
            </w:pPr>
            <w:r>
              <w:rPr>
                <w:color w:val="232733"/>
                <w:sz w:val="16"/>
                <w:szCs w:val="16"/>
              </w:rPr>
              <w:t xml:space="preserve">279,000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600"/>
            <w:tcMar>
              <w:top w:type="dxa" w:w="50"/>
              <w:left w:type="dxa" w:w="110"/>
              <w:bottom w:type="dxa" w:w="50"/>
              <w:right w:type="dxa" w:w="110"/>
            </w:tcMar>
          </w:tcPr>
          <w:p>
            <w:pPr>
              <w:spacing w:before="26" w:after="26"/>
            </w:pPr>
            <w:r>
              <w:rPr>
                <w:color w:val="232733"/>
                <w:sz w:val="16"/>
                <w:szCs w:val="16"/>
              </w:rPr>
              <w:t xml:space="preserve">البضاعة المتاحة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مصاريف نقل المشتريات</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نظام الجرد المستمر</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التسليم عند نقطة الوصول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البضاعة المتاحة للبيع</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تكلفة قابلة للتحميل على المخزون</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تصفية طبقات LIFO</w:t>
            </w:r>
          </w:p>
        </w:tc>
      </w:tr>
    </w:tbl>
    <w:p/>
    <w:p>
      <w:pPr>
        <w:spacing w:before="24" w:after="24"/>
        <w:ind w:left="300" w:hanging="300"/>
      </w:pPr>
      <w:r>
        <w:rPr>
          <w:b/>
          <w:bCs/>
          <w:color w:val="353A7C"/>
          <w:sz w:val="18"/>
          <w:szCs w:val="18"/>
        </w:rPr>
        <w:t xml:space="preserve">20.  </w:t>
      </w:r>
      <w:r>
        <w:rPr>
          <w:sz w:val="18"/>
          <w:szCs w:val="18"/>
        </w:rPr>
        <w:t xml:space="preserve">perpetual inventory system</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goods available for sale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FOB destination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inventoriable cost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LIFO liquidation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freight-in</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26.  </w:t>
      </w:r>
      <w:r>
        <w:rPr>
          <w:sz w:val="19"/>
          <w:szCs w:val="19"/>
        </w:rPr>
        <w:t xml:space="preserve">Which method does the book pair with “the newest costs: 2,000 × $50”?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Weighted average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27.  </w:t>
      </w:r>
      <w:r>
        <w:rPr>
          <w:sz w:val="19"/>
          <w:szCs w:val="19"/>
        </w:rPr>
        <w:t xml:space="preserve">Which method does the book pair with “the oldest costs: 1,000 × $40 + 1,000 × $44”?</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Weighted average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28.  </w:t>
      </w:r>
      <w:r>
        <w:rPr>
          <w:sz w:val="19"/>
          <w:szCs w:val="19"/>
        </w:rPr>
        <w:t xml:space="preserve">Which method does the book pair with “2,000 × $46.50 (= 372,000 ÷ 8,000)”?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LIFO</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Weighted average</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29.  </w:t>
      </w:r>
      <w:r>
        <w:rPr>
          <w:sz w:val="19"/>
          <w:szCs w:val="19"/>
        </w:rPr>
        <w:t xml:space="preserve">Cedar Retail S.A.L. reports under IFRS. Which method may it NOT use?</w:t>
      </w:r>
    </w:p>
    <w:p>
      <w:pPr>
        <w:spacing w:after="18"/>
        <w:ind w:left="560" w:hanging="260"/>
      </w:pPr>
      <w:r>
        <w:rPr>
          <w:b/>
          <w:bCs/>
          <w:color w:val="8186EF"/>
          <w:sz w:val="18"/>
          <w:szCs w:val="18"/>
        </w:rPr>
        <w:t xml:space="preserve">A. </w:t>
      </w:r>
      <w:r>
        <w:rPr>
          <w:sz w:val="18"/>
          <w:szCs w:val="18"/>
        </w:rPr>
        <w:t xml:space="preserve">FIFO</w:t>
      </w:r>
    </w:p>
    <w:p>
      <w:pPr>
        <w:spacing w:after="18"/>
        <w:ind w:left="560" w:hanging="260"/>
      </w:pPr>
      <w:r>
        <w:rPr>
          <w:b/>
          <w:bCs/>
          <w:color w:val="8186EF"/>
          <w:sz w:val="18"/>
          <w:szCs w:val="18"/>
        </w:rPr>
        <w:t xml:space="preserve">B. </w:t>
      </w:r>
      <w:r>
        <w:rPr>
          <w:sz w:val="18"/>
          <w:szCs w:val="18"/>
        </w:rPr>
        <w:t xml:space="preserve">Weighted average</w:t>
      </w:r>
    </w:p>
    <w:p>
      <w:pPr>
        <w:spacing w:after="18"/>
        <w:ind w:left="560" w:hanging="260"/>
      </w:pPr>
      <w:r>
        <w:rPr>
          <w:b/>
          <w:bCs/>
          <w:color w:val="8186EF"/>
          <w:sz w:val="18"/>
          <w:szCs w:val="18"/>
        </w:rPr>
        <w:t xml:space="preserve">C. </w:t>
      </w:r>
      <w:r>
        <w:rPr>
          <w:sz w:val="18"/>
          <w:szCs w:val="18"/>
        </w:rPr>
        <w:t xml:space="preserve">LIFO</w:t>
      </w:r>
    </w:p>
    <w:p>
      <w:pPr>
        <w:spacing w:after="18"/>
        <w:ind w:left="560" w:hanging="260"/>
      </w:pPr>
      <w:r>
        <w:rPr>
          <w:b/>
          <w:bCs/>
          <w:color w:val="8186EF"/>
          <w:sz w:val="18"/>
          <w:szCs w:val="18"/>
        </w:rPr>
        <w:t xml:space="preserve">D. </w:t>
      </w:r>
      <w:r>
        <w:rPr>
          <w:sz w:val="18"/>
          <w:szCs w:val="18"/>
        </w:rPr>
        <w:t xml:space="preserve">Specific identification for unique items</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30.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31.  </w:t>
      </w:r>
      <w:r>
        <w:rPr>
          <w:sz w:val="19"/>
          <w:szCs w:val="19"/>
        </w:rPr>
        <w:t xml:space="preserve">Rebuild the figure from this handout. Label every part and fill in every box.</w:t>
      </w:r>
    </w:p>
    <w:p>
      <w:pPr>
        <w:spacing w:after="40" w:before="90"/>
        <w:jc w:val="center"/>
      </w:pPr>
      <w:r>
        <w:drawing>
          <wp:inline distT="0" distB="0" distL="0" distR="0">
            <wp:extent cx="5734050" cy="362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6215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32.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goods available for sale  ·  perpetual inventory system  ·  FOB destination  ·  freight-in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7.4</w:t>
      </w:r>
    </w:p>
    <w:p>
      <w:pPr>
        <w:spacing w:after="8"/>
      </w:pPr>
      <w:r>
        <w:rPr>
          <w:color w:val="23265A"/>
          <w:sz w:val="22"/>
          <w:szCs w:val="22"/>
        </w:rPr>
        <w:t xml:space="preserve">Effects on income, taxes and assets</w:t>
      </w:r>
    </w:p>
    <w:p>
      <w:pPr>
        <w:spacing w:after="130"/>
      </w:pPr>
      <w:r>
        <w:rPr>
          <w:color w:val="6B7280"/>
          <w:sz w:val="20"/>
          <w:szCs w:val="20"/>
        </w:rPr>
        <w:t xml:space="preserve">section 7.4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53"/>
        <w:gridCol w:w="2774"/>
        <w:gridCol w:w="447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226"/>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4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3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226"/>
            <w:tcMar>
              <w:top w:type="dxa" w:w="50"/>
              <w:left w:type="dxa" w:w="110"/>
              <w:bottom w:type="dxa" w:w="50"/>
              <w:right w:type="dxa" w:w="110"/>
            </w:tcMar>
          </w:tcPr>
          <w:p>
            <w:pPr>
              <w:spacing w:before="26" w:after="26"/>
            </w:pPr>
            <w:r>
              <w:rPr>
                <w:color w:val="232733"/>
                <w:sz w:val="16"/>
                <w:szCs w:val="16"/>
              </w:rPr>
              <w:t xml:space="preserve">Effects on income, taxes and assets</w:t>
            </w:r>
          </w:p>
        </w:tc>
        <w:tc>
          <w:tcPr>
            <w:tcW w:type="pct" w:w="1445"/>
            <w:tcMar>
              <w:top w:type="dxa" w:w="50"/>
              <w:left w:type="dxa" w:w="110"/>
              <w:bottom w:type="dxa" w:w="50"/>
              <w:right w:type="dxa" w:w="110"/>
            </w:tcMar>
          </w:tcPr>
          <w:p>
            <w:pPr>
              <w:spacing w:before="26" w:after="26"/>
            </w:pPr>
            <w:r>
              <w:rPr>
                <w:color w:val="232733"/>
                <w:sz w:val="16"/>
                <w:szCs w:val="16"/>
              </w:rPr>
              <w:t xml:space="preserve">a figure to read</w:t>
            </w:r>
          </w:p>
        </w:tc>
        <w:tc>
          <w:tcPr>
            <w:tcW w:type="pct" w:w="2330"/>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226"/>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45"/>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33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LIFO reserve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consignment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freight-in   ·   cost of goods sold   ·   physical count   ·   gross profit   ·   inventory</w:t>
      </w:r>
    </w:p>
    <w:p>
      <w:pPr>
        <w:spacing w:before="36" w:after="36"/>
        <w:ind w:left="300"/>
      </w:pPr>
      <w:r>
        <w:rPr>
          <w:sz w:val="19"/>
          <w:szCs w:val="19"/>
        </w:rPr>
        <w:t xml:space="preserve">When prices are rising, the methods give very different results. FIFO puts the old, cheaper costs into </w:t>
      </w:r>
      <w:r>
        <w:rPr>
          <w:u w:val="single"/>
          <w:sz w:val="19"/>
          <w:szCs w:val="19"/>
        </w:rPr>
        <w:t xml:space="preserve">                    </w:t>
      </w:r>
      <w:r>
        <w:rPr>
          <w:sz w:val="19"/>
          <w:szCs w:val="19"/>
        </w:rPr>
        <w:t xml:space="preserve">. So FIFO gives the lowest cost of goods sold, the highest </w:t>
      </w:r>
      <w:r>
        <w:rPr>
          <w:u w:val="single"/>
          <w:sz w:val="19"/>
          <w:szCs w:val="19"/>
        </w:rPr>
        <w:t xml:space="preserve">              </w:t>
      </w:r>
      <w:r>
        <w:rPr>
          <w:sz w:val="19"/>
          <w:szCs w:val="19"/>
        </w:rPr>
        <w:t xml:space="preserve">, the highest income tax and the highest ending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physical count   ·   cost of goods sold   ·   LIFO reserve   ·   freight-in   ·   inventory</w:t>
      </w:r>
    </w:p>
    <w:p>
      <w:pPr>
        <w:spacing w:before="36" w:after="36"/>
        <w:ind w:left="300"/>
      </w:pPr>
      <w:r>
        <w:rPr>
          <w:sz w:val="19"/>
          <w:szCs w:val="19"/>
        </w:rPr>
        <w:t xml:space="preserve">An analyst can convert LIFO results to FIFO with two relationships. FIFO </w:t>
      </w:r>
      <w:r>
        <w:rPr>
          <w:u w:val="single"/>
          <w:sz w:val="19"/>
          <w:szCs w:val="19"/>
        </w:rPr>
        <w:t xml:space="preserve">           </w:t>
      </w:r>
      <w:r>
        <w:rPr>
          <w:sz w:val="19"/>
          <w:szCs w:val="19"/>
        </w:rPr>
        <w:t xml:space="preserve"> equals LIFO inventory plus the </w:t>
      </w:r>
      <w:r>
        <w:rPr>
          <w:u w:val="single"/>
          <w:sz w:val="19"/>
          <w:szCs w:val="19"/>
        </w:rPr>
        <w:t xml:space="preserve">              </w:t>
      </w:r>
      <w:r>
        <w:rPr>
          <w:sz w:val="19"/>
          <w:szCs w:val="19"/>
        </w:rPr>
        <w:t xml:space="preserve">. FIFO </w:t>
      </w:r>
      <w:r>
        <w:rPr>
          <w:u w:val="single"/>
          <w:sz w:val="19"/>
          <w:szCs w:val="19"/>
        </w:rPr>
        <w:t xml:space="preserve">                    </w:t>
      </w:r>
      <w:r>
        <w:rPr>
          <w:sz w:val="19"/>
          <w:szCs w:val="19"/>
        </w:rPr>
        <w:t xml:space="preserve"> equals LIFO cost of goods sold minus the increase in the LIFO reserve during the year.</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freight-in   ·   physical count   ·   cost of goods sold   ·   LIFO reserve</w:t>
      </w:r>
    </w:p>
    <w:p>
      <w:pPr>
        <w:spacing w:before="36" w:after="36"/>
        <w:ind w:left="300"/>
      </w:pPr>
      <w:r>
        <w:rPr>
          <w:sz w:val="19"/>
          <w:szCs w:val="19"/>
        </w:rPr>
        <w:t xml:space="preserve">A company that uses LIFO for its tax return must also use LIFO in its financial statements. To get FIFO </w:t>
      </w:r>
      <w:r>
        <w:rPr>
          <w:u w:val="single"/>
          <w:sz w:val="19"/>
          <w:szCs w:val="19"/>
        </w:rPr>
        <w:t xml:space="preserve">                    </w:t>
      </w:r>
      <w:r>
        <w:rPr>
          <w:sz w:val="19"/>
          <w:szCs w:val="19"/>
        </w:rPr>
        <w:t xml:space="preserve">, SUBTRACT the increase in the </w:t>
      </w:r>
      <w:r>
        <w:rPr>
          <w:u w:val="single"/>
          <w:sz w:val="19"/>
          <w:szCs w:val="19"/>
        </w:rPr>
        <w:t xml:space="preserve">              </w:t>
      </w:r>
      <w:r>
        <w:rPr>
          <w:sz w:val="19"/>
          <w:szCs w:val="19"/>
        </w:rPr>
        <w:t xml:space="preserve"> from LIFO cost of goods sold. In rising prices, LIFO gives LOWER income and LOWER taxes, not higher.</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Effects on income, taxes and assets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01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010375"/>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7.1?</w:t>
      </w:r>
    </w:p>
    <w:p>
      <w:pPr>
        <w:spacing w:after="18"/>
        <w:ind w:left="560" w:hanging="260"/>
      </w:pPr>
      <w:r>
        <w:rPr>
          <w:b/>
          <w:bCs/>
          <w:color w:val="8186EF"/>
          <w:sz w:val="18"/>
          <w:szCs w:val="18"/>
        </w:rPr>
        <w:t xml:space="preserve">A. </w:t>
      </w:r>
      <w:r>
        <w:rPr>
          <w:sz w:val="18"/>
          <w:szCs w:val="18"/>
        </w:rPr>
        <w:t xml:space="preserve">Effects on income, taxes and assets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Cost flow assumptions</w:t>
      </w:r>
    </w:p>
    <w:p>
      <w:pPr>
        <w:spacing w:after="18"/>
        <w:ind w:left="560" w:hanging="260"/>
      </w:pPr>
      <w:r>
        <w:rPr>
          <w:b/>
          <w:bCs/>
          <w:color w:val="8186EF"/>
          <w:sz w:val="18"/>
          <w:szCs w:val="18"/>
        </w:rPr>
        <w:t xml:space="preserve">D. </w:t>
      </w:r>
      <w:r>
        <w:rPr>
          <w:sz w:val="18"/>
          <w:szCs w:val="18"/>
        </w:rPr>
        <w:t xml:space="preserve">Which costs belong in inventory?</w:t>
      </w:r>
    </w:p>
    <w:p>
      <w:pPr>
        <w:spacing w:before="40" w:after="16"/>
        <w:ind w:left="300" w:hanging="300"/>
      </w:pPr>
      <w:r>
        <w:rPr>
          <w:b/>
          <w:bCs/>
          <w:color w:val="353A7C"/>
          <w:sz w:val="19"/>
          <w:szCs w:val="19"/>
        </w:rPr>
        <w:t xml:space="preserve">6.  </w:t>
      </w:r>
      <w:r>
        <w:rPr>
          <w:sz w:val="19"/>
          <w:szCs w:val="19"/>
        </w:rPr>
        <w:t xml:space="preserve">Which part of this chapter is section 7.2?</w:t>
      </w:r>
    </w:p>
    <w:p>
      <w:pPr>
        <w:spacing w:after="18"/>
        <w:ind w:left="560" w:hanging="260"/>
      </w:pPr>
      <w:r>
        <w:rPr>
          <w:b/>
          <w:bCs/>
          <w:color w:val="8186EF"/>
          <w:sz w:val="18"/>
          <w:szCs w:val="18"/>
        </w:rPr>
        <w:t xml:space="preserve">A. </w:t>
      </w:r>
      <w:r>
        <w:rPr>
          <w:sz w:val="18"/>
          <w:szCs w:val="18"/>
        </w:rPr>
        <w:t xml:space="preserve">Cost flow assumptions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Which costs belong in inventory?</w:t>
      </w:r>
    </w:p>
    <w:p>
      <w:pPr>
        <w:spacing w:after="18"/>
        <w:ind w:left="560" w:hanging="260"/>
      </w:pPr>
      <w:r>
        <w:rPr>
          <w:b/>
          <w:bCs/>
          <w:color w:val="8186EF"/>
          <w:sz w:val="18"/>
          <w:szCs w:val="18"/>
        </w:rPr>
        <w:t xml:space="preserve">D. </w:t>
      </w:r>
      <w:r>
        <w:rPr>
          <w:sz w:val="18"/>
          <w:szCs w:val="18"/>
        </w:rPr>
        <w:t xml:space="preserve">Effects on income, taxes and assets</w:t>
      </w:r>
    </w:p>
    <w:p>
      <w:pPr>
        <w:spacing w:before="40" w:after="16"/>
        <w:ind w:left="300" w:hanging="300"/>
      </w:pPr>
      <w:r>
        <w:rPr>
          <w:b/>
          <w:bCs/>
          <w:color w:val="353A7C"/>
          <w:sz w:val="19"/>
          <w:szCs w:val="19"/>
        </w:rPr>
        <w:t xml:space="preserve">7.  </w:t>
      </w:r>
      <w:r>
        <w:rPr>
          <w:sz w:val="19"/>
          <w:szCs w:val="19"/>
        </w:rPr>
        <w:t xml:space="preserve">Which part of this chapter is section 7.3?</w:t>
      </w:r>
    </w:p>
    <w:p>
      <w:pPr>
        <w:spacing w:after="18"/>
        <w:ind w:left="560" w:hanging="260"/>
      </w:pPr>
      <w:r>
        <w:rPr>
          <w:b/>
          <w:bCs/>
          <w:color w:val="8186EF"/>
          <w:sz w:val="18"/>
          <w:szCs w:val="18"/>
        </w:rPr>
        <w:t xml:space="preserve">A. </w:t>
      </w:r>
      <w:r>
        <w:rPr>
          <w:sz w:val="18"/>
          <w:szCs w:val="18"/>
        </w:rPr>
        <w:t xml:space="preserve">Effects on income, taxes and assets</w:t>
      </w:r>
    </w:p>
    <w:p>
      <w:pPr>
        <w:spacing w:after="18"/>
        <w:ind w:left="560" w:hanging="260"/>
      </w:pPr>
      <w:r>
        <w:rPr>
          <w:b/>
          <w:bCs/>
          <w:color w:val="8186EF"/>
          <w:sz w:val="18"/>
          <w:szCs w:val="18"/>
        </w:rPr>
        <w:t xml:space="preserve">B. </w:t>
      </w:r>
      <w:r>
        <w:rPr>
          <w:sz w:val="18"/>
          <w:szCs w:val="18"/>
        </w:rPr>
        <w:t xml:space="preserve">Cost flow assumptions</w:t>
      </w:r>
    </w:p>
    <w:p>
      <w:pPr>
        <w:spacing w:after="18"/>
        <w:ind w:left="560" w:hanging="260"/>
      </w:pPr>
      <w:r>
        <w:rPr>
          <w:b/>
          <w:bCs/>
          <w:color w:val="8186EF"/>
          <w:sz w:val="18"/>
          <w:szCs w:val="18"/>
        </w:rPr>
        <w:t xml:space="preserve">C. </w:t>
      </w:r>
      <w:r>
        <w:rPr>
          <w:sz w:val="18"/>
          <w:szCs w:val="18"/>
        </w:rPr>
        <w:t xml:space="preserve">Which costs belong in inventory?</w:t>
      </w:r>
    </w:p>
    <w:p>
      <w:pPr>
        <w:spacing w:after="18"/>
        <w:ind w:left="560" w:hanging="260"/>
      </w:pPr>
      <w:r>
        <w:rPr>
          <w:b/>
          <w:bCs/>
          <w:color w:val="8186EF"/>
          <w:sz w:val="18"/>
          <w:szCs w:val="18"/>
        </w:rPr>
        <w:t xml:space="preserve">D. </w:t>
      </w:r>
      <w:r>
        <w:rPr>
          <w:sz w:val="18"/>
          <w:szCs w:val="18"/>
        </w:rPr>
        <w:t xml:space="preserve">Which goods belong in inventory?</w:t>
      </w:r>
    </w:p>
    <w:p>
      <w:pPr>
        <w:spacing w:before="40" w:after="16"/>
        <w:ind w:left="300" w:hanging="300"/>
      </w:pPr>
      <w:r>
        <w:rPr>
          <w:b/>
          <w:bCs/>
          <w:color w:val="353A7C"/>
          <w:sz w:val="19"/>
          <w:szCs w:val="19"/>
        </w:rPr>
        <w:t xml:space="preserve">8.  </w:t>
      </w:r>
      <w:r>
        <w:rPr>
          <w:sz w:val="19"/>
          <w:szCs w:val="19"/>
        </w:rPr>
        <w:t xml:space="preserve">Which part of this chapter is section 7.4?</w:t>
      </w:r>
    </w:p>
    <w:p>
      <w:pPr>
        <w:spacing w:after="18"/>
        <w:ind w:left="560" w:hanging="260"/>
      </w:pPr>
      <w:r>
        <w:rPr>
          <w:b/>
          <w:bCs/>
          <w:color w:val="8186EF"/>
          <w:sz w:val="18"/>
          <w:szCs w:val="18"/>
        </w:rPr>
        <w:t xml:space="preserve">A. </w:t>
      </w:r>
      <w:r>
        <w:rPr>
          <w:sz w:val="18"/>
          <w:szCs w:val="18"/>
        </w:rPr>
        <w:t xml:space="preserve">Cost flow assumptions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Which costs belong in inventory?</w:t>
      </w:r>
    </w:p>
    <w:p>
      <w:pPr>
        <w:spacing w:after="18"/>
        <w:ind w:left="560" w:hanging="260"/>
      </w:pPr>
      <w:r>
        <w:rPr>
          <w:b/>
          <w:bCs/>
          <w:color w:val="8186EF"/>
          <w:sz w:val="18"/>
          <w:szCs w:val="18"/>
        </w:rPr>
        <w:t xml:space="preserve">D. </w:t>
      </w:r>
      <w:r>
        <w:rPr>
          <w:sz w:val="18"/>
          <w:szCs w:val="18"/>
        </w:rPr>
        <w:t xml:space="preserve">Effects on income, taxes and assets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The rule you have just written is the book’s own rule.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600"/>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reserve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tcMar>
              <w:top w:type="dxa" w:w="50"/>
              <w:left w:type="dxa" w:w="110"/>
              <w:bottom w:type="dxa" w:w="50"/>
              <w:right w:type="dxa" w:w="110"/>
            </w:tcMar>
          </w:tcPr>
          <w:p>
            <w:pPr>
              <w:spacing w:before="26" w:after="26"/>
            </w:pPr>
            <w:r>
              <w:rPr>
                <w:color w:val="232733"/>
                <w:sz w:val="16"/>
                <w:szCs w:val="16"/>
              </w:rPr>
              <w:t xml:space="preserve">consignment</w:t>
            </w:r>
          </w:p>
        </w:tc>
        <w:tc>
          <w:tcPr>
            <w:tcW w:type="pct" w:w="2600"/>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احتياطي LIFO (فرق تقويم LIFO)</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قاعدة التوافق الضريبي لطريقة LIFO</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الوارد أولاً يُصرف أولاً</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تكلفة الفترة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البضاعة بالأمانة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مصاريف نقل المبيعات</w:t>
            </w:r>
          </w:p>
        </w:tc>
      </w:tr>
    </w:tbl>
    <w:p/>
    <w:p>
      <w:pPr>
        <w:spacing w:before="24" w:after="24"/>
        <w:ind w:left="300" w:hanging="300"/>
      </w:pPr>
      <w:r>
        <w:rPr>
          <w:b/>
          <w:bCs/>
          <w:color w:val="353A7C"/>
          <w:sz w:val="18"/>
          <w:szCs w:val="18"/>
        </w:rPr>
        <w:t xml:space="preserve">12.  </w:t>
      </w:r>
      <w:r>
        <w:rPr>
          <w:sz w:val="18"/>
          <w:szCs w:val="18"/>
        </w:rPr>
        <w:t xml:space="preserve">FIFO (first-in, first-out)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freight-out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LIFO reserve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period cost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LIFO conformity rule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consignment</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20.  </w:t>
      </w:r>
      <w:r>
        <w:rPr>
          <w:sz w:val="19"/>
          <w:szCs w:val="19"/>
        </w:rPr>
        <w:t xml:space="preserve">Rebuild the figure from this handout. Label every part and fill in every box.</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FIFO (first-in, first-out)  ·  LIFO reserve  ·  consignment  ·  freight-out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7.5</w:t>
      </w:r>
    </w:p>
    <w:p>
      <w:pPr>
        <w:spacing w:after="8"/>
      </w:pPr>
      <w:r>
        <w:rPr>
          <w:color w:val="23265A"/>
          <w:sz w:val="22"/>
          <w:szCs w:val="22"/>
        </w:rPr>
        <w:t xml:space="preserve">Inventory errors</w:t>
      </w:r>
    </w:p>
    <w:p>
      <w:pPr>
        <w:spacing w:after="130"/>
      </w:pPr>
      <w:r>
        <w:rPr>
          <w:color w:val="6B7280"/>
          <w:sz w:val="20"/>
          <w:szCs w:val="20"/>
        </w:rPr>
        <w:t xml:space="preserve">section 7.5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43"/>
        <w:gridCol w:w="3298"/>
        <w:gridCol w:w="42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64"/>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71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18"/>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64"/>
            <w:tcMar>
              <w:top w:type="dxa" w:w="50"/>
              <w:left w:type="dxa" w:w="110"/>
              <w:bottom w:type="dxa" w:w="50"/>
              <w:right w:type="dxa" w:w="110"/>
            </w:tcMar>
          </w:tcPr>
          <w:p>
            <w:pPr>
              <w:spacing w:before="26" w:after="26"/>
            </w:pPr>
            <w:r>
              <w:rPr>
                <w:color w:val="232733"/>
                <w:sz w:val="16"/>
                <w:szCs w:val="16"/>
              </w:rPr>
              <w:t xml:space="preserve">Inventory errors</w:t>
            </w:r>
          </w:p>
        </w:tc>
        <w:tc>
          <w:tcPr>
            <w:tcW w:type="pct" w:w="1718"/>
            <w:tcMar>
              <w:top w:type="dxa" w:w="50"/>
              <w:left w:type="dxa" w:w="110"/>
              <w:bottom w:type="dxa" w:w="50"/>
              <w:right w:type="dxa" w:w="110"/>
            </w:tcMar>
          </w:tcPr>
          <w:p>
            <w:pPr>
              <w:spacing w:before="26" w:after="26"/>
            </w:pPr>
            <w:r>
              <w:rPr>
                <w:color w:val="232733"/>
                <w:sz w:val="16"/>
                <w:szCs w:val="16"/>
              </w:rPr>
              <w:t xml:space="preserve">a figure to read · Item</w:t>
            </w:r>
          </w:p>
        </w:tc>
        <w:tc>
          <w:tcPr>
            <w:tcW w:type="pct" w:w="2218"/>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64"/>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718"/>
            <w:shd w:fill="FBFAF6" w:val="clear"/>
            <w:tcMar>
              <w:top w:type="dxa" w:w="50"/>
              <w:left w:type="dxa" w:w="110"/>
              <w:bottom w:type="dxa" w:w="50"/>
              <w:right w:type="dxa" w:w="110"/>
            </w:tcMar>
          </w:tcPr>
          <w:p>
            <w:pPr>
              <w:spacing w:before="26" w:after="26"/>
            </w:pPr>
            <w:r>
              <w:rPr>
                <w:color w:val="232733"/>
                <w:sz w:val="16"/>
                <w:szCs w:val="16"/>
              </w:rPr>
              <w:t xml:space="preserve">Memo item · The English the exam uses, and what it translates</w:t>
            </w:r>
          </w:p>
        </w:tc>
        <w:tc>
          <w:tcPr>
            <w:tcW w:type="pct" w:w="2218"/>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consignor</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purchase discount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cost of goods sold   ·   purchase discount   ·   inventory   ·   gross profit</w:t>
      </w:r>
    </w:p>
    <w:p>
      <w:pPr>
        <w:spacing w:before="36" w:after="36"/>
        <w:ind w:left="300"/>
      </w:pPr>
      <w:r>
        <w:rPr>
          <w:sz w:val="19"/>
          <w:szCs w:val="19"/>
        </w:rPr>
        <w:t xml:space="preserve">If ending </w:t>
      </w:r>
      <w:r>
        <w:rPr>
          <w:u w:val="single"/>
          <w:sz w:val="19"/>
          <w:szCs w:val="19"/>
        </w:rPr>
        <w:t xml:space="preserve">           </w:t>
      </w:r>
      <w:r>
        <w:rPr>
          <w:sz w:val="19"/>
          <w:szCs w:val="19"/>
        </w:rPr>
        <w:t xml:space="preserve"> is wrong, </w:t>
      </w:r>
      <w:r>
        <w:rPr>
          <w:u w:val="single"/>
          <w:sz w:val="19"/>
          <w:szCs w:val="19"/>
        </w:rPr>
        <w:t xml:space="preserve">                    </w:t>
      </w:r>
      <w:r>
        <w:rPr>
          <w:sz w:val="19"/>
          <w:szCs w:val="19"/>
        </w:rPr>
        <w:t xml:space="preserve"> is wrong in the same year. And because this year's ending inventory is next year's beginning inventory, the error moves into the next year too. Cost of goods sold was understated by 40, so pretax income was overstated by 40.</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purchase discount   ·   inventory   ·   gross profit   ·   cost of goods sold</w:t>
      </w:r>
    </w:p>
    <w:p>
      <w:pPr>
        <w:spacing w:before="36" w:after="36"/>
        <w:ind w:left="300"/>
      </w:pPr>
      <w:r>
        <w:rPr>
          <w:sz w:val="19"/>
          <w:szCs w:val="19"/>
        </w:rPr>
        <w:t xml:space="preserve">Errors in purchases work in a similar way. Row 3 is a classic exam item: when a purchase is left out of both purchases and the count, </w:t>
      </w:r>
      <w:r>
        <w:rPr>
          <w:u w:val="single"/>
          <w:sz w:val="19"/>
          <w:szCs w:val="19"/>
        </w:rPr>
        <w:t xml:space="preserve">                    </w:t>
      </w:r>
      <w:r>
        <w:rPr>
          <w:sz w:val="19"/>
          <w:szCs w:val="19"/>
        </w:rPr>
        <w:t xml:space="preserve"> and income are still correct, but </w:t>
      </w:r>
      <w:r>
        <w:rPr>
          <w:u w:val="single"/>
          <w:sz w:val="19"/>
          <w:szCs w:val="19"/>
        </w:rPr>
        <w:t xml:space="preserve">           </w:t>
      </w:r>
      <w:r>
        <w:rPr>
          <w:sz w:val="19"/>
          <w:szCs w:val="19"/>
        </w:rPr>
        <w:t xml:space="preserve"> and accounts payable are both understated.</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inventory   ·   gross profit   ·   purchase discount   ·   physical count</w:t>
      </w:r>
    </w:p>
    <w:p>
      <w:pPr>
        <w:spacing w:before="36" w:after="36"/>
        <w:ind w:left="300"/>
      </w:pPr>
      <w:r>
        <w:rPr>
          <w:sz w:val="19"/>
          <w:szCs w:val="19"/>
        </w:rPr>
        <w:t xml:space="preserve">In a question, find the direction for the first year, then reverse it for the second year. SC7-10 A purchase on account at year-end was not recorded, and the goods were not included in the </w:t>
      </w:r>
      <w:r>
        <w:rPr>
          <w:u w:val="single"/>
          <w:sz w:val="19"/>
          <w:szCs w:val="19"/>
        </w:rPr>
        <w:t xml:space="preserve">                </w:t>
      </w:r>
      <w:r>
        <w:rPr>
          <w:sz w:val="19"/>
          <w:szCs w:val="19"/>
        </w:rPr>
        <w:t xml:space="preserve">. Net income is overstated; </w:t>
      </w:r>
      <w:r>
        <w:rPr>
          <w:u w:val="single"/>
          <w:sz w:val="19"/>
          <w:szCs w:val="19"/>
        </w:rPr>
        <w:t xml:space="preserve">           </w:t>
      </w:r>
      <w:r>
        <w:rPr>
          <w:sz w:val="19"/>
          <w:szCs w:val="19"/>
        </w:rPr>
        <w:t xml:space="preserve"> is correct.</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Inventory errors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answer of COGS, line 2: 1,200 × $22 as “$26,400”.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5687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COGS, line 2: 1,200 × $22</w:t>
            </w:r>
          </w:p>
        </w:tc>
        <w:tc>
          <w:tcPr>
            <w:tcW w:type="pct" w:w="2600"/>
            <w:tcMar>
              <w:top w:type="dxa" w:w="50"/>
              <w:left w:type="dxa" w:w="110"/>
              <w:bottom w:type="dxa" w:w="50"/>
              <w:right w:type="dxa" w:w="110"/>
            </w:tcMar>
          </w:tcPr>
          <w:p>
            <w:pPr>
              <w:spacing w:before="26" w:after="26"/>
            </w:pPr>
            <w:r>
              <w:rPr>
                <w:color w:val="232733"/>
                <w:sz w:val="16"/>
                <w:szCs w:val="16"/>
              </w:rPr>
              <w:t xml:space="preserve">$26,400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Ending inventory, line 1: 300 × $22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$6,600</w:t>
            </w:r>
          </w:p>
        </w:tc>
      </w:tr>
      <w:tr>
        <w:tc>
          <w:tcPr>
            <w:tcW w:type="pct" w:w="2400"/>
            <w:tcMar>
              <w:top w:type="dxa" w:w="50"/>
              <w:left w:type="dxa" w:w="110"/>
              <w:bottom w:type="dxa" w:w="50"/>
              <w:right w:type="dxa" w:w="110"/>
            </w:tcMar>
          </w:tcPr>
          <w:p>
            <w:pPr>
              <w:spacing w:before="26" w:after="26"/>
            </w:pPr>
            <w:r>
              <w:rPr>
                <w:color w:val="232733"/>
                <w:sz w:val="16"/>
                <w:szCs w:val="16"/>
              </w:rPr>
              <w:t xml:space="preserve">Ending inventory, line 2: 500 × $20</w:t>
            </w:r>
          </w:p>
        </w:tc>
        <w:tc>
          <w:tcPr>
            <w:tcW w:type="pct" w:w="2600"/>
            <w:tcMar>
              <w:top w:type="dxa" w:w="50"/>
              <w:left w:type="dxa" w:w="110"/>
              <w:bottom w:type="dxa" w:w="50"/>
              <w:right w:type="dxa" w:w="110"/>
            </w:tcMar>
          </w:tcPr>
          <w:p>
            <w:pPr>
              <w:spacing w:before="26" w:after="26"/>
            </w:pPr>
            <w:r>
              <w:rPr>
                <w:color w:val="232733"/>
                <w:sz w:val="16"/>
                <w:szCs w:val="16"/>
              </w:rPr>
              <w:t xml:space="preserve">$10,000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Total COGS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$25,000 + $26,400 = $51,400</w:t>
            </w:r>
          </w:p>
        </w:tc>
      </w:tr>
      <w:tr>
        <w:tc>
          <w:tcPr>
            <w:tcW w:type="pct" w:w="2400"/>
            <w:tcMar>
              <w:top w:type="dxa" w:w="50"/>
              <w:left w:type="dxa" w:w="110"/>
              <w:bottom w:type="dxa" w:w="50"/>
              <w:right w:type="dxa" w:w="110"/>
            </w:tcMar>
          </w:tcPr>
          <w:p>
            <w:pPr>
              <w:spacing w:before="26" w:after="26"/>
            </w:pPr>
            <w:r>
              <w:rPr>
                <w:color w:val="232733"/>
                <w:sz w:val="16"/>
                <w:szCs w:val="16"/>
              </w:rPr>
              <w:t xml:space="preserve">Total ending inventory</w:t>
            </w:r>
          </w:p>
        </w:tc>
        <w:tc>
          <w:tcPr>
            <w:tcW w:type="pct" w:w="2600"/>
            <w:tcMar>
              <w:top w:type="dxa" w:w="50"/>
              <w:left w:type="dxa" w:w="110"/>
              <w:bottom w:type="dxa" w:w="50"/>
              <w:right w:type="dxa" w:w="110"/>
            </w:tcMar>
          </w:tcPr>
          <w:p>
            <w:pPr>
              <w:spacing w:before="26" w:after="26"/>
            </w:pPr>
            <w:r>
              <w:rPr>
                <w:color w:val="232733"/>
                <w:sz w:val="16"/>
                <w:szCs w:val="16"/>
              </w:rPr>
              <w:t xml:space="preserve">$6,600 + $10,000 = $16,600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Check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$51,400 + $16,600 = $68,000, the cost of goods available.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answer does the book give for COGS, line 2: 1,200 × $22?</w:t>
      </w:r>
    </w:p>
    <w:p>
      <w:pPr>
        <w:spacing w:after="18"/>
        <w:ind w:left="560" w:hanging="260"/>
      </w:pPr>
      <w:r>
        <w:rPr>
          <w:b/>
          <w:bCs/>
          <w:color w:val="8186EF"/>
          <w:sz w:val="18"/>
          <w:szCs w:val="18"/>
        </w:rPr>
        <w:t xml:space="preserve">A. </w:t>
      </w:r>
      <w:r>
        <w:rPr>
          <w:sz w:val="18"/>
          <w:szCs w:val="18"/>
        </w:rPr>
        <w:t xml:space="preserve">$26,400</w:t>
      </w:r>
    </w:p>
    <w:p>
      <w:pPr>
        <w:spacing w:after="18"/>
        <w:ind w:left="560" w:hanging="260"/>
      </w:pPr>
      <w:r>
        <w:rPr>
          <w:b/>
          <w:bCs/>
          <w:color w:val="8186EF"/>
          <w:sz w:val="18"/>
          <w:szCs w:val="18"/>
        </w:rPr>
        <w:t xml:space="preserve">B. </w:t>
      </w:r>
      <w:r>
        <w:rPr>
          <w:sz w:val="18"/>
          <w:szCs w:val="18"/>
        </w:rPr>
        <w:t xml:space="preserve">$25,000 + $26,400 = $51,400</w:t>
      </w:r>
    </w:p>
    <w:p>
      <w:pPr>
        <w:spacing w:after="18"/>
        <w:ind w:left="560" w:hanging="260"/>
      </w:pPr>
      <w:r>
        <w:rPr>
          <w:b/>
          <w:bCs/>
          <w:color w:val="8186EF"/>
          <w:sz w:val="18"/>
          <w:szCs w:val="18"/>
        </w:rPr>
        <w:t xml:space="preserve">C. </w:t>
      </w:r>
      <w:r>
        <w:rPr>
          <w:sz w:val="18"/>
          <w:szCs w:val="18"/>
        </w:rPr>
        <w:t xml:space="preserve">$10,000</w:t>
      </w:r>
    </w:p>
    <w:p>
      <w:pPr>
        <w:spacing w:after="18"/>
        <w:ind w:left="560" w:hanging="260"/>
      </w:pPr>
      <w:r>
        <w:rPr>
          <w:b/>
          <w:bCs/>
          <w:color w:val="8186EF"/>
          <w:sz w:val="18"/>
          <w:szCs w:val="18"/>
        </w:rPr>
        <w:t xml:space="preserve">D. </w:t>
      </w:r>
      <w:r>
        <w:rPr>
          <w:sz w:val="18"/>
          <w:szCs w:val="18"/>
        </w:rPr>
        <w:t xml:space="preserve">$51,400 + $16,600 = $68,000, the cost of goods available.</w:t>
      </w:r>
    </w:p>
    <w:p>
      <w:pPr>
        <w:spacing w:before="40" w:after="16"/>
        <w:ind w:left="300" w:hanging="300"/>
      </w:pPr>
      <w:r>
        <w:rPr>
          <w:b/>
          <w:bCs/>
          <w:color w:val="353A7C"/>
          <w:sz w:val="19"/>
          <w:szCs w:val="19"/>
        </w:rPr>
        <w:t xml:space="preserve">6.  </w:t>
      </w:r>
      <w:r>
        <w:rPr>
          <w:sz w:val="19"/>
          <w:szCs w:val="19"/>
        </w:rPr>
        <w:t xml:space="preserve">Which answer does the book give for Ending inventory, line 1: 300 × $22?</w:t>
      </w:r>
    </w:p>
    <w:p>
      <w:pPr>
        <w:spacing w:after="18"/>
        <w:ind w:left="560" w:hanging="260"/>
      </w:pPr>
      <w:r>
        <w:rPr>
          <w:b/>
          <w:bCs/>
          <w:color w:val="8186EF"/>
          <w:sz w:val="18"/>
          <w:szCs w:val="18"/>
        </w:rPr>
        <w:t xml:space="preserve">A. </w:t>
      </w:r>
      <w:r>
        <w:rPr>
          <w:sz w:val="18"/>
          <w:szCs w:val="18"/>
        </w:rPr>
        <w:t xml:space="preserve">$26,400</w:t>
      </w:r>
    </w:p>
    <w:p>
      <w:pPr>
        <w:spacing w:after="18"/>
        <w:ind w:left="560" w:hanging="260"/>
      </w:pPr>
      <w:r>
        <w:rPr>
          <w:b/>
          <w:bCs/>
          <w:color w:val="8186EF"/>
          <w:sz w:val="18"/>
          <w:szCs w:val="18"/>
        </w:rPr>
        <w:t xml:space="preserve">B. </w:t>
      </w:r>
      <w:r>
        <w:rPr>
          <w:sz w:val="18"/>
          <w:szCs w:val="18"/>
        </w:rPr>
        <w:t xml:space="preserve">$6,600 + $10,000 = $16,600</w:t>
      </w:r>
    </w:p>
    <w:p>
      <w:pPr>
        <w:spacing w:after="18"/>
        <w:ind w:left="560" w:hanging="260"/>
      </w:pPr>
      <w:r>
        <w:rPr>
          <w:b/>
          <w:bCs/>
          <w:color w:val="8186EF"/>
          <w:sz w:val="18"/>
          <w:szCs w:val="18"/>
        </w:rPr>
        <w:t xml:space="preserve">C. </w:t>
      </w:r>
      <w:r>
        <w:rPr>
          <w:sz w:val="18"/>
          <w:szCs w:val="18"/>
        </w:rPr>
        <w:t xml:space="preserve">$6,600</w:t>
      </w:r>
    </w:p>
    <w:p>
      <w:pPr>
        <w:spacing w:after="18"/>
        <w:ind w:left="560" w:hanging="260"/>
      </w:pPr>
      <w:r>
        <w:rPr>
          <w:b/>
          <w:bCs/>
          <w:color w:val="8186EF"/>
          <w:sz w:val="18"/>
          <w:szCs w:val="18"/>
        </w:rPr>
        <w:t xml:space="preserve">D. </w:t>
      </w:r>
      <w:r>
        <w:rPr>
          <w:sz w:val="18"/>
          <w:szCs w:val="18"/>
        </w:rPr>
        <w:t xml:space="preserve">$51,400 + $16,600 = $68,000, the cost of goods available.</w:t>
      </w:r>
    </w:p>
    <w:p>
      <w:pPr>
        <w:spacing w:before="40" w:after="16"/>
        <w:ind w:left="300" w:hanging="300"/>
      </w:pPr>
      <w:r>
        <w:rPr>
          <w:b/>
          <w:bCs/>
          <w:color w:val="353A7C"/>
          <w:sz w:val="19"/>
          <w:szCs w:val="19"/>
        </w:rPr>
        <w:t xml:space="preserve">7.  </w:t>
      </w:r>
      <w:r>
        <w:rPr>
          <w:sz w:val="19"/>
          <w:szCs w:val="19"/>
        </w:rPr>
        <w:t xml:space="preserve">Which answer does the book give for Ending inventory, line 2: 500 × $20?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$25,000 + $26,400 = $51,400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$6,600 + $10,000 = $16,600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$26,400</w:t>
            </w:r>
          </w:p>
        </w:tc>
      </w:tr>
    </w:tbl>
    <w:p>
      <w:pPr>
        <w:spacing w:before="40" w:after="16"/>
        <w:ind w:left="300" w:hanging="300"/>
      </w:pPr>
      <w:r>
        <w:rPr>
          <w:b/>
          <w:bCs/>
          <w:color w:val="353A7C"/>
          <w:sz w:val="19"/>
          <w:szCs w:val="19"/>
        </w:rPr>
        <w:t xml:space="preserve">8.  </w:t>
      </w:r>
      <w:r>
        <w:rPr>
          <w:sz w:val="19"/>
          <w:szCs w:val="19"/>
        </w:rPr>
        <w:t xml:space="preserve">Which answer does the book give for Total COGS?</w:t>
      </w:r>
    </w:p>
    <w:p>
      <w:pPr>
        <w:spacing w:after="18"/>
        <w:ind w:left="560" w:hanging="260"/>
      </w:pPr>
      <w:r>
        <w:rPr>
          <w:b/>
          <w:bCs/>
          <w:color w:val="8186EF"/>
          <w:sz w:val="18"/>
          <w:szCs w:val="18"/>
        </w:rPr>
        <w:t xml:space="preserve">A. </w:t>
      </w:r>
      <w:r>
        <w:rPr>
          <w:sz w:val="18"/>
          <w:szCs w:val="18"/>
        </w:rPr>
        <w:t xml:space="preserve">$6,600</w:t>
      </w:r>
    </w:p>
    <w:p>
      <w:pPr>
        <w:spacing w:after="18"/>
        <w:ind w:left="560" w:hanging="260"/>
      </w:pPr>
      <w:r>
        <w:rPr>
          <w:b/>
          <w:bCs/>
          <w:color w:val="8186EF"/>
          <w:sz w:val="18"/>
          <w:szCs w:val="18"/>
        </w:rPr>
        <w:t xml:space="preserve">B. </w:t>
      </w:r>
      <w:r>
        <w:rPr>
          <w:sz w:val="18"/>
          <w:szCs w:val="18"/>
        </w:rPr>
        <w:t xml:space="preserve">$10,000</w:t>
      </w:r>
    </w:p>
    <w:p>
      <w:pPr>
        <w:spacing w:after="18"/>
        <w:ind w:left="560" w:hanging="260"/>
      </w:pPr>
      <w:r>
        <w:rPr>
          <w:b/>
          <w:bCs/>
          <w:color w:val="8186EF"/>
          <w:sz w:val="18"/>
          <w:szCs w:val="18"/>
        </w:rPr>
        <w:t xml:space="preserve">C. </w:t>
      </w:r>
      <w:r>
        <w:rPr>
          <w:sz w:val="18"/>
          <w:szCs w:val="18"/>
        </w:rPr>
        <w:t xml:space="preserve">$25,000 + $26,400 = $51,400</w:t>
      </w:r>
    </w:p>
    <w:p>
      <w:pPr>
        <w:spacing w:after="18"/>
        <w:ind w:left="560" w:hanging="260"/>
      </w:pPr>
      <w:r>
        <w:rPr>
          <w:b/>
          <w:bCs/>
          <w:color w:val="8186EF"/>
          <w:sz w:val="18"/>
          <w:szCs w:val="18"/>
        </w:rPr>
        <w:t xml:space="preserve">D. </w:t>
      </w:r>
      <w:r>
        <w:rPr>
          <w:sz w:val="18"/>
          <w:szCs w:val="18"/>
        </w:rPr>
        <w:t xml:space="preserve">$51,400 + $16,600 = $68,000, the cost of goods available.</w:t>
      </w:r>
    </w:p>
    <w:p>
      <w:pPr>
        <w:spacing w:before="30" w:after="30"/>
        <w:ind w:left="300" w:hanging="300"/>
      </w:pPr>
      <w:r>
        <w:rPr>
          <w:b/>
          <w:bCs/>
          <w:color w:val="353A7C"/>
          <w:sz w:val="19"/>
          <w:szCs w:val="19"/>
        </w:rPr>
        <w:t xml:space="preserve">9.  </w:t>
      </w:r>
      <w:r>
        <w:rPr>
          <w:sz w:val="19"/>
          <w:szCs w:val="19"/>
        </w:rPr>
        <w:t xml:space="preserve">The book gives the answer of COGS, line 2: 1,200 × $22 as “$26,400”.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answer of Ending inventory, line 1: 300 × $22 as “$51,400 + $16,600 = $68,000, the cost of goods available.”.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The rule you have just written is the book’s own rule.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8184"/>
        <w:gridCol w:w="141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Memo item — the book’s own table</w:t>
            </w:r>
          </w:p>
        </w:tc>
      </w:tr>
      <w:tr>
        <w:tc>
          <w:tcPr>
            <w:tcW w:type="pct" w:w="4262"/>
            <w:tcMar>
              <w:top w:type="dxa" w:w="50"/>
              <w:left w:type="dxa" w:w="110"/>
              <w:bottom w:type="dxa" w:w="50"/>
              <w:right w:type="dxa" w:w="110"/>
            </w:tcMar>
          </w:tcPr>
          <w:p>
            <w:pPr>
              <w:spacing w:before="26" w:after="26"/>
            </w:pPr>
            <w:r>
              <w:rPr>
                <w:b/>
                <w:bCs/>
                <w:color w:val="353A7C"/>
                <w:sz w:val="15"/>
                <w:szCs w:val="15"/>
              </w:rPr>
              <w:t xml:space="preserve">Memo item</w:t>
            </w:r>
          </w:p>
        </w:tc>
        <w:tc>
          <w:tcPr>
            <w:tcW w:type="pct" w:w="738"/>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4262"/>
            <w:tcMar>
              <w:top w:type="dxa" w:w="50"/>
              <w:left w:type="dxa" w:w="110"/>
              <w:bottom w:type="dxa" w:w="50"/>
              <w:right w:type="dxa" w:w="110"/>
            </w:tcMar>
          </w:tcPr>
          <w:p>
            <w:pPr>
              <w:spacing w:before="26" w:after="26"/>
            </w:pPr>
            <w:r>
              <w:rPr>
                <w:color w:val="232733"/>
                <w:sz w:val="16"/>
                <w:szCs w:val="16"/>
              </w:rPr>
              <w:t xml:space="preserve">M1 (FOB shipping point, bought)</w:t>
            </w:r>
          </w:p>
        </w:tc>
        <w:tc>
          <w:tcPr>
            <w:tcW w:type="pct" w:w="738"/>
            <w:tcMar>
              <w:top w:type="dxa" w:w="50"/>
              <w:left w:type="dxa" w:w="110"/>
              <w:bottom w:type="dxa" w:w="50"/>
              <w:right w:type="dxa" w:w="110"/>
            </w:tcMar>
          </w:tcPr>
          <w:p>
            <w:pPr>
              <w:spacing w:before="26" w:after="26"/>
            </w:pPr>
            <w:r>
              <w:rPr>
                <w:color w:val="232733"/>
                <w:sz w:val="16"/>
                <w:szCs w:val="16"/>
              </w:rPr>
              <w:t xml:space="preserve"/>
            </w:r>
          </w:p>
        </w:tc>
      </w:tr>
      <w:tr>
        <w:tc>
          <w:tcPr>
            <w:tcW w:type="pct" w:w="4262"/>
            <w:shd w:fill="FBFAF6" w:val="clear"/>
            <w:tcMar>
              <w:top w:type="dxa" w:w="50"/>
              <w:left w:type="dxa" w:w="110"/>
              <w:bottom w:type="dxa" w:w="50"/>
              <w:right w:type="dxa" w:w="110"/>
            </w:tcMar>
          </w:tcPr>
          <w:p>
            <w:pPr>
              <w:spacing w:before="26" w:after="26"/>
            </w:pPr>
            <w:r>
              <w:rPr>
                <w:color w:val="232733"/>
                <w:sz w:val="16"/>
                <w:szCs w:val="16"/>
              </w:rPr>
              <w:t xml:space="preserve">M2 (FOB destination, sold)</w:t>
            </w:r>
          </w:p>
        </w:tc>
        <w:tc>
          <w:tcPr>
            <w:tcW w:type="pct" w:w="73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4262"/>
            <w:tcMar>
              <w:top w:type="dxa" w:w="50"/>
              <w:left w:type="dxa" w:w="110"/>
              <w:bottom w:type="dxa" w:w="50"/>
              <w:right w:type="dxa" w:w="110"/>
            </w:tcMar>
          </w:tcPr>
          <w:p>
            <w:pPr>
              <w:spacing w:before="26" w:after="26"/>
            </w:pPr>
            <w:r>
              <w:rPr>
                <w:color w:val="232733"/>
                <w:sz w:val="16"/>
                <w:szCs w:val="16"/>
              </w:rPr>
              <w:t xml:space="preserve">M3 (held for a Beirut producer)</w:t>
            </w:r>
          </w:p>
        </w:tc>
        <w:tc>
          <w:tcPr>
            <w:tcW w:type="pct" w:w="738"/>
            <w:tcMar>
              <w:top w:type="dxa" w:w="50"/>
              <w:left w:type="dxa" w:w="110"/>
              <w:bottom w:type="dxa" w:w="50"/>
              <w:right w:type="dxa" w:w="110"/>
            </w:tcMar>
          </w:tcPr>
          <w:p>
            <w:pPr>
              <w:spacing w:before="26" w:after="26"/>
            </w:pPr>
            <w:r>
              <w:rPr>
                <w:color w:val="232733"/>
                <w:sz w:val="16"/>
                <w:szCs w:val="16"/>
              </w:rPr>
              <w:t xml:space="preserve"/>
            </w:r>
          </w:p>
        </w:tc>
      </w:tr>
      <w:tr>
        <w:tc>
          <w:tcPr>
            <w:tcW w:type="pct" w:w="4262"/>
            <w:shd w:fill="FBFAF6" w:val="clear"/>
            <w:tcMar>
              <w:top w:type="dxa" w:w="50"/>
              <w:left w:type="dxa" w:w="110"/>
              <w:bottom w:type="dxa" w:w="50"/>
              <w:right w:type="dxa" w:w="110"/>
            </w:tcMar>
          </w:tcPr>
          <w:p>
            <w:pPr>
              <w:spacing w:before="26" w:after="26"/>
            </w:pPr>
            <w:r>
              <w:rPr>
                <w:color w:val="232733"/>
                <w:sz w:val="16"/>
                <w:szCs w:val="16"/>
              </w:rPr>
              <w:t xml:space="preserve">M4 (at a Doha consignee)</w:t>
            </w:r>
          </w:p>
        </w:tc>
        <w:tc>
          <w:tcPr>
            <w:tcW w:type="pct" w:w="738"/>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600"/>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600"/>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خصم المشتريات (خصم نقدي)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خطأ ذاتي التصحيح (خطأ معاكس)</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مجمل الربح</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الوارد أخيراً يُصرف أولاً</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افتراض تدفق التكلفة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المُرسِل (مالك البضاعة بالأمانة)</w:t>
            </w:r>
          </w:p>
        </w:tc>
      </w:tr>
    </w:tbl>
    <w:p/>
    <w:p>
      <w:pPr>
        <w:spacing w:before="24" w:after="24"/>
        <w:ind w:left="300" w:hanging="300"/>
      </w:pPr>
      <w:r>
        <w:rPr>
          <w:b/>
          <w:bCs/>
          <w:color w:val="353A7C"/>
          <w:sz w:val="18"/>
          <w:szCs w:val="18"/>
        </w:rPr>
        <w:t xml:space="preserve">14.  </w:t>
      </w:r>
      <w:r>
        <w:rPr>
          <w:sz w:val="18"/>
          <w:szCs w:val="18"/>
        </w:rPr>
        <w:t xml:space="preserve">consignor</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cost flow assumption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LIFO (last-in, first-out)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purchase discount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gross profit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counterbalancing error</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20.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figure from this handout. Label every part and fill in every box.</w:t>
      </w:r>
    </w:p>
    <w:p>
      <w:pPr>
        <w:spacing w:after="40" w:before="90"/>
        <w:jc w:val="center"/>
      </w:pPr>
      <w:r>
        <w:drawing>
          <wp:inline distT="0" distB="0" distL="0" distR="0">
            <wp:extent cx="5734050" cy="358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35837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LIFO (last-in, first-out)  ·  counterbalancing error  ·  consignor  ·  purchase discount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944"/>
        <w:gridCol w:w="3826"/>
        <w:gridCol w:w="483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491"/>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92"/>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51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491"/>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1992"/>
            <w:tcMar>
              <w:top w:type="dxa" w:w="50"/>
              <w:left w:type="dxa" w:w="110"/>
              <w:bottom w:type="dxa" w:w="50"/>
              <w:right w:type="dxa" w:w="110"/>
            </w:tcMar>
          </w:tcPr>
          <w:p>
            <w:pPr>
              <w:spacing w:before="26" w:after="26"/>
            </w:pPr>
            <w:r>
              <w:rPr>
                <w:color w:val="232733"/>
                <w:sz w:val="16"/>
                <w:szCs w:val="16"/>
              </w:rPr>
              <w:t xml:space="preserve">a figure to read</w:t>
            </w:r>
          </w:p>
        </w:tc>
        <w:tc>
          <w:tcPr>
            <w:tcW w:type="pct" w:w="2516"/>
            <w:tcMar>
              <w:top w:type="dxa" w:w="50"/>
              <w:left w:type="dxa" w:w="110"/>
              <w:bottom w:type="dxa" w:w="50"/>
              <w:right w:type="dxa" w:w="110"/>
            </w:tcMar>
          </w:tcPr>
          <w:p>
            <w:pPr>
              <w:spacing w:before="26" w:after="26"/>
            </w:pPr>
            <w:r>
              <w:rPr>
                <w:color w:val="232733"/>
                <w:sz w:val="16"/>
                <w:szCs w:val="16"/>
              </w:rPr>
              <w:t xml:space="preserve">On December 28, a supplier in Türkiye ships glass bottles to Orontes, FOB shipping point. They arrive on January 4. Who includes the bottles in inventory at December 31?</w:t>
            </w:r>
          </w:p>
        </w:tc>
      </w:tr>
      <w:tr>
        <w:tc>
          <w:tcPr>
            <w:tcW w:type="pct" w:w="491"/>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1992"/>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2516"/>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491"/>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1992"/>
            <w:tcMar>
              <w:top w:type="dxa" w:w="50"/>
              <w:left w:type="dxa" w:w="110"/>
              <w:bottom w:type="dxa" w:w="50"/>
              <w:right w:type="dxa" w:w="110"/>
            </w:tcMar>
          </w:tcPr>
          <w:p>
            <w:pPr>
              <w:spacing w:before="26" w:after="26"/>
            </w:pPr>
            <w:r>
              <w:rPr>
                <w:color w:val="232733"/>
                <w:sz w:val="16"/>
                <w:szCs w:val="16"/>
              </w:rPr>
              <w:t xml:space="preserve">inventory · cost of goods sold · goods available for sale · FIFO (first-in, first-out) · LIFO (last-in, first-out) · weighted-average cost</w:t>
            </w:r>
          </w:p>
        </w:tc>
        <w:tc>
          <w:tcPr>
            <w:tcW w:type="pct" w:w="2516"/>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FOB destination   ·   inventory   ·   consignee   ·   consignment   ·   inventoriable cost   ·   consignor   ·   goods available for sale</w:t>
      </w:r>
    </w:p>
    <w:p>
      <w:pPr>
        <w:spacing w:before="36" w:after="36"/>
        <w:ind w:left="300"/>
      </w:pPr>
      <w:r>
        <w:rPr>
          <w:sz w:val="19"/>
          <w:szCs w:val="19"/>
        </w:rPr>
        <w:t xml:space="preserve">Under </w:t>
      </w:r>
      <w:r>
        <w:rPr>
          <w:u w:val="single"/>
          <w:sz w:val="19"/>
          <w:szCs w:val="19"/>
        </w:rPr>
        <w:t xml:space="preserve">                 </w:t>
      </w:r>
      <w:r>
        <w:rPr>
          <w:sz w:val="19"/>
          <w:szCs w:val="19"/>
        </w:rPr>
        <w:t xml:space="preserve">, the seller keeps control until the goods arrive, so the seller includes them. In a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(the owner) gives goods to a </w:t>
      </w:r>
      <w:r>
        <w:rPr>
          <w:u w:val="single"/>
          <w:sz w:val="19"/>
          <w:szCs w:val="19"/>
        </w:rPr>
        <w:t xml:space="preserve">           </w:t>
      </w:r>
      <w:r>
        <w:rPr>
          <w:sz w:val="19"/>
          <w:szCs w:val="19"/>
        </w:rPr>
        <w:t xml:space="preserve">, who sells them for a commission. The goods stay in the consignor's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inventoriable cost   ·   cost of goods sold   ·   goods available for sale   ·   perpetual inventory system   ·   periodic inventory system</w:t>
      </w:r>
    </w:p>
    <w:p>
      <w:pPr>
        <w:spacing w:before="36" w:after="36"/>
        <w:ind w:left="300"/>
      </w:pPr>
      <w:r>
        <w:rPr>
          <w:sz w:val="19"/>
          <w:szCs w:val="19"/>
        </w:rPr>
        <w:t xml:space="preserve">In a </w:t>
      </w:r>
      <w:r>
        <w:rPr>
          <w:u w:val="single"/>
          <w:sz w:val="19"/>
          <w:szCs w:val="19"/>
        </w:rPr>
        <w:t xml:space="preserve">                           </w:t>
      </w:r>
      <w:r>
        <w:rPr>
          <w:sz w:val="19"/>
          <w:szCs w:val="19"/>
        </w:rPr>
        <w:t xml:space="preserve">, the company counts the goods at year-end and calculates </w:t>
      </w:r>
      <w:r>
        <w:rPr>
          <w:u w:val="single"/>
          <w:sz w:val="19"/>
          <w:szCs w:val="19"/>
        </w:rPr>
        <w:t xml:space="preserve">                    </w:t>
      </w:r>
      <w:r>
        <w:rPr>
          <w:sz w:val="19"/>
          <w:szCs w:val="19"/>
        </w:rPr>
        <w:t xml:space="preserve"> for the whole period. In a </w:t>
      </w:r>
      <w:r>
        <w:rPr>
          <w:u w:val="single"/>
          <w:sz w:val="19"/>
          <w:szCs w:val="19"/>
        </w:rPr>
        <w:t xml:space="preserve">                            </w:t>
      </w:r>
      <w:r>
        <w:rPr>
          <w:sz w:val="19"/>
          <w:szCs w:val="19"/>
        </w:rPr>
        <w:t xml:space="preserve">, it updates inventory and cost of goods sold after every purchase and every sale.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goods available for sale   ·   inventory   ·   gross profit   ·   inventoriable cost   ·   cost of goods sold</w:t>
      </w:r>
    </w:p>
    <w:p>
      <w:pPr>
        <w:spacing w:before="36" w:after="36"/>
        <w:ind w:left="300"/>
      </w:pPr>
      <w:r>
        <w:rPr>
          <w:sz w:val="19"/>
          <w:szCs w:val="19"/>
        </w:rPr>
        <w:t xml:space="preserve">So FIFO gives the lowest </w:t>
      </w:r>
      <w:r>
        <w:rPr>
          <w:u w:val="single"/>
          <w:sz w:val="19"/>
          <w:szCs w:val="19"/>
        </w:rPr>
        <w:t xml:space="preserve">                    </w:t>
      </w:r>
      <w:r>
        <w:rPr>
          <w:sz w:val="19"/>
          <w:szCs w:val="19"/>
        </w:rPr>
        <w:t xml:space="preserve">, the highest </w:t>
      </w:r>
      <w:r>
        <w:rPr>
          <w:u w:val="single"/>
          <w:sz w:val="19"/>
          <w:szCs w:val="19"/>
        </w:rPr>
        <w:t xml:space="preserve">              </w:t>
      </w:r>
      <w:r>
        <w:rPr>
          <w:sz w:val="19"/>
          <w:szCs w:val="19"/>
        </w:rPr>
        <w:t xml:space="preserve">, the highest income tax and the highest ending </w:t>
      </w:r>
      <w:r>
        <w:rPr>
          <w:u w:val="single"/>
          <w:sz w:val="19"/>
          <w:szCs w:val="19"/>
        </w:rPr>
        <w:t xml:space="preserve">           </w:t>
      </w:r>
      <w:r>
        <w:rPr>
          <w:sz w:val="19"/>
          <w:szCs w:val="19"/>
        </w:rPr>
        <w:t xml:space="preserve">. When prices are falling, all these relationships reverse. Effects of FIFO, weighted average and LIFO when prices are rising.</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pageBreakBefore w:val="true"/>
        <w:spacing w:after="0"/>
      </w:pPr>
      <w:r>
        <w:rPr>
          <w:sz w:val="2"/>
        </w:rPr>
        <w:t xml:space="preserve"> </w:t>
      </w:r>
    </w:p>
    <w:p>
      <w:pPr>
        <w:spacing w:before="40" w:after="16"/>
        <w:ind w:left="300" w:hanging="300"/>
      </w:pPr>
      <w:r>
        <w:rPr>
          <w:b/>
          <w:bCs/>
          <w:color w:val="353A7C"/>
          <w:sz w:val="19"/>
          <w:szCs w:val="19"/>
        </w:rPr>
        <w:t xml:space="preserve">5.  </w:t>
      </w:r>
      <w:r>
        <w:rPr>
          <w:sz w:val="19"/>
          <w:szCs w:val="19"/>
        </w:rPr>
        <w:t xml:space="preserve">“section 7.1” — which part of the chapter is this?</w:t>
      </w:r>
    </w:p>
    <w:p>
      <w:pPr>
        <w:spacing w:after="18"/>
        <w:ind w:left="560" w:hanging="260"/>
      </w:pPr>
      <w:r>
        <w:rPr>
          <w:b/>
          <w:bCs/>
          <w:color w:val="8186EF"/>
          <w:sz w:val="18"/>
          <w:szCs w:val="18"/>
        </w:rPr>
        <w:t xml:space="preserve">A. </w:t>
      </w:r>
      <w:r>
        <w:rPr>
          <w:sz w:val="18"/>
          <w:szCs w:val="18"/>
        </w:rPr>
        <w:t xml:space="preserve">Cost flow assumptions</w:t>
      </w:r>
    </w:p>
    <w:p>
      <w:pPr>
        <w:spacing w:after="18"/>
        <w:ind w:left="560" w:hanging="260"/>
      </w:pPr>
      <w:r>
        <w:rPr>
          <w:b/>
          <w:bCs/>
          <w:color w:val="8186EF"/>
          <w:sz w:val="18"/>
          <w:szCs w:val="18"/>
        </w:rPr>
        <w:t xml:space="preserve">B. </w:t>
      </w:r>
      <w:r>
        <w:rPr>
          <w:sz w:val="18"/>
          <w:szCs w:val="18"/>
        </w:rPr>
        <w:t xml:space="preserve">Which costs belong in inventory?</w:t>
      </w:r>
    </w:p>
    <w:p>
      <w:pPr>
        <w:spacing w:after="18"/>
        <w:ind w:left="560" w:hanging="260"/>
      </w:pPr>
      <w:r>
        <w:rPr>
          <w:b/>
          <w:bCs/>
          <w:color w:val="8186EF"/>
          <w:sz w:val="18"/>
          <w:szCs w:val="18"/>
        </w:rPr>
        <w:t xml:space="preserve">C. </w:t>
      </w:r>
      <w:r>
        <w:rPr>
          <w:sz w:val="18"/>
          <w:szCs w:val="18"/>
        </w:rPr>
        <w:t xml:space="preserve">Effects on income, taxes and assets</w:t>
      </w:r>
    </w:p>
    <w:p>
      <w:pPr>
        <w:spacing w:after="18"/>
        <w:ind w:left="560" w:hanging="260"/>
      </w:pPr>
      <w:r>
        <w:rPr>
          <w:b/>
          <w:bCs/>
          <w:color w:val="8186EF"/>
          <w:sz w:val="18"/>
          <w:szCs w:val="18"/>
        </w:rPr>
        <w:t xml:space="preserve">D. </w:t>
      </w:r>
      <w:r>
        <w:rPr>
          <w:sz w:val="18"/>
          <w:szCs w:val="18"/>
        </w:rPr>
        <w:t xml:space="preserve">Which goods belong in inventory?</w:t>
      </w:r>
    </w:p>
    <w:p>
      <w:pPr>
        <w:spacing w:before="40" w:after="16"/>
        <w:ind w:left="300" w:hanging="300"/>
      </w:pPr>
      <w:r>
        <w:rPr>
          <w:b/>
          <w:bCs/>
          <w:color w:val="353A7C"/>
          <w:sz w:val="19"/>
          <w:szCs w:val="19"/>
        </w:rPr>
        <w:t xml:space="preserve">6.  </w:t>
      </w:r>
      <w:r>
        <w:rPr>
          <w:sz w:val="19"/>
          <w:szCs w:val="19"/>
        </w:rPr>
        <w:t xml:space="preserve">“section 7.2” — which part of the chapter is this?</w:t>
      </w:r>
    </w:p>
    <w:p>
      <w:pPr>
        <w:spacing w:after="18"/>
        <w:ind w:left="560" w:hanging="260"/>
      </w:pPr>
      <w:r>
        <w:rPr>
          <w:b/>
          <w:bCs/>
          <w:color w:val="8186EF"/>
          <w:sz w:val="18"/>
          <w:szCs w:val="18"/>
        </w:rPr>
        <w:t xml:space="preserve">A. </w:t>
      </w:r>
      <w:r>
        <w:rPr>
          <w:sz w:val="18"/>
          <w:szCs w:val="18"/>
        </w:rPr>
        <w:t xml:space="preserve">Effects on income, taxes and assets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Which costs belong in inventory?</w:t>
      </w:r>
    </w:p>
    <w:p>
      <w:pPr>
        <w:spacing w:after="18"/>
        <w:ind w:left="560" w:hanging="260"/>
      </w:pPr>
      <w:r>
        <w:rPr>
          <w:b/>
          <w:bCs/>
          <w:color w:val="8186EF"/>
          <w:sz w:val="18"/>
          <w:szCs w:val="18"/>
        </w:rPr>
        <w:t xml:space="preserve">D. </w:t>
      </w:r>
      <w:r>
        <w:rPr>
          <w:sz w:val="18"/>
          <w:szCs w:val="18"/>
        </w:rPr>
        <w:t xml:space="preserve">Cost flow assumptions</w:t>
      </w:r>
    </w:p>
    <w:p>
      <w:pPr>
        <w:spacing w:before="40" w:after="16"/>
        <w:ind w:left="300" w:hanging="300"/>
      </w:pPr>
      <w:r>
        <w:rPr>
          <w:b/>
          <w:bCs/>
          <w:color w:val="353A7C"/>
          <w:sz w:val="19"/>
          <w:szCs w:val="19"/>
        </w:rPr>
        <w:t xml:space="preserve">7.  </w:t>
      </w:r>
      <w:r>
        <w:rPr>
          <w:sz w:val="19"/>
          <w:szCs w:val="19"/>
        </w:rPr>
        <w:t xml:space="preserve">“section 7.3” — which part of the chapter is this?</w:t>
      </w:r>
    </w:p>
    <w:p>
      <w:pPr>
        <w:spacing w:after="18"/>
        <w:ind w:left="560" w:hanging="260"/>
      </w:pPr>
      <w:r>
        <w:rPr>
          <w:b/>
          <w:bCs/>
          <w:color w:val="8186EF"/>
          <w:sz w:val="18"/>
          <w:szCs w:val="18"/>
        </w:rPr>
        <w:t xml:space="preserve">A. </w:t>
      </w:r>
      <w:r>
        <w:rPr>
          <w:sz w:val="18"/>
          <w:szCs w:val="18"/>
        </w:rPr>
        <w:t xml:space="preserve">Effects on income, taxes and assets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Which costs belong in inventory?</w:t>
      </w:r>
    </w:p>
    <w:p>
      <w:pPr>
        <w:spacing w:after="18"/>
        <w:ind w:left="560" w:hanging="260"/>
      </w:pPr>
      <w:r>
        <w:rPr>
          <w:b/>
          <w:bCs/>
          <w:color w:val="8186EF"/>
          <w:sz w:val="18"/>
          <w:szCs w:val="18"/>
        </w:rPr>
        <w:t xml:space="preserve">D. </w:t>
      </w:r>
      <w:r>
        <w:rPr>
          <w:sz w:val="18"/>
          <w:szCs w:val="18"/>
        </w:rPr>
        <w:t xml:space="preserve">Cost flow assumptions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7.1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7.4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7.2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7.5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7.3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8.  </w:t>
      </w:r>
      <w:r>
        <w:rPr>
          <w:sz w:val="18"/>
          <w:szCs w:val="18"/>
        </w:rPr>
        <w:t xml:space="preserve">Which goods belong in inventory?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Which costs belong in inventory?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Cost flow assumptions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Effects on income, taxes and assets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Inventory errors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Under LIFO, ending inventory consists of:</w:t>
      </w:r>
    </w:p>
    <w:p>
      <w:pPr>
        <w:spacing w:after="18"/>
        <w:ind w:left="560" w:hanging="260"/>
      </w:pPr>
      <w:r>
        <w:rPr>
          <w:b/>
          <w:bCs/>
          <w:color w:val="8186EF"/>
          <w:sz w:val="18"/>
          <w:szCs w:val="18"/>
        </w:rPr>
        <w:t xml:space="preserve">A. </w:t>
      </w:r>
      <w:r>
        <w:rPr>
          <w:sz w:val="18"/>
          <w:szCs w:val="18"/>
        </w:rPr>
        <w:t xml:space="preserve">the newest costs.</w:t>
      </w:r>
    </w:p>
    <w:p>
      <w:pPr>
        <w:spacing w:after="18"/>
        <w:ind w:left="560" w:hanging="260"/>
      </w:pPr>
      <w:r>
        <w:rPr>
          <w:b/>
          <w:bCs/>
          <w:color w:val="8186EF"/>
          <w:sz w:val="18"/>
          <w:szCs w:val="18"/>
        </w:rPr>
        <w:t xml:space="preserve">B. </w:t>
      </w:r>
      <w:r>
        <w:rPr>
          <w:sz w:val="18"/>
          <w:szCs w:val="18"/>
        </w:rPr>
        <w:t xml:space="preserve">an average of all costs.</w:t>
      </w:r>
    </w:p>
    <w:p>
      <w:pPr>
        <w:spacing w:after="18"/>
        <w:ind w:left="560" w:hanging="260"/>
      </w:pPr>
      <w:r>
        <w:rPr>
          <w:b/>
          <w:bCs/>
          <w:color w:val="8186EF"/>
          <w:sz w:val="18"/>
          <w:szCs w:val="18"/>
        </w:rPr>
        <w:t xml:space="preserve">C. </w:t>
      </w:r>
      <w:r>
        <w:rPr>
          <w:sz w:val="18"/>
          <w:szCs w:val="18"/>
        </w:rPr>
        <w:t xml:space="preserve">the actual cost of each unit still on hand.</w:t>
      </w:r>
    </w:p>
    <w:p>
      <w:pPr>
        <w:spacing w:after="18"/>
        <w:ind w:left="560" w:hanging="260"/>
      </w:pPr>
      <w:r>
        <w:rPr>
          <w:b/>
          <w:bCs/>
          <w:color w:val="8186EF"/>
          <w:sz w:val="18"/>
          <w:szCs w:val="18"/>
        </w:rPr>
        <w:t xml:space="preserve">D. </w:t>
      </w:r>
      <w:r>
        <w:rPr>
          <w:sz w:val="18"/>
          <w:szCs w:val="18"/>
        </w:rPr>
        <w:t xml:space="preserve">the oldest costs.</w:t>
      </w:r>
    </w:p>
    <w:p>
      <w:pPr>
        <w:spacing w:before="40" w:after="16"/>
        <w:ind w:left="300" w:hanging="300"/>
      </w:pPr>
      <w:r>
        <w:rPr>
          <w:b/>
          <w:bCs/>
          <w:color w:val="353A7C"/>
          <w:sz w:val="19"/>
          <w:szCs w:val="19"/>
        </w:rPr>
        <w:t xml:space="preserve">14.  </w:t>
      </w:r>
      <w:r>
        <w:rPr>
          <w:sz w:val="19"/>
          <w:szCs w:val="19"/>
        </w:rPr>
        <w:t xml:space="preserve">What is the weighted-average cost per case of olive oil in the Orontes example?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$46.50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$45.50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$50.00</w:t>
            </w:r>
          </w:p>
        </w:tc>
      </w:tr>
    </w:tbl>
    <w:p>
      <w:pPr>
        <w:spacing w:before="40" w:after="16"/>
        <w:ind w:left="300" w:hanging="300"/>
      </w:pPr>
      <w:r>
        <w:rPr>
          <w:b/>
          <w:bCs/>
          <w:color w:val="353A7C"/>
          <w:sz w:val="19"/>
          <w:szCs w:val="19"/>
        </w:rPr>
        <w:t xml:space="preserve">15.  </w:t>
      </w:r>
      <w:r>
        <w:rPr>
          <w:sz w:val="19"/>
          <w:szCs w:val="19"/>
        </w:rPr>
        <w:t xml:space="preserve">Prices are rising. Which method gives the highest net income?</w:t>
      </w:r>
    </w:p>
    <w:p>
      <w:pPr>
        <w:spacing w:after="18"/>
        <w:ind w:left="560" w:hanging="260"/>
      </w:pPr>
      <w:r>
        <w:rPr>
          <w:b/>
          <w:bCs/>
          <w:color w:val="8186EF"/>
          <w:sz w:val="18"/>
          <w:szCs w:val="18"/>
        </w:rPr>
        <w:t xml:space="preserve">A. </w:t>
      </w:r>
      <w:r>
        <w:rPr>
          <w:sz w:val="18"/>
          <w:szCs w:val="18"/>
        </w:rPr>
        <w:t xml:space="preserve">FIFO</w:t>
      </w:r>
    </w:p>
    <w:p>
      <w:pPr>
        <w:spacing w:after="18"/>
        <w:ind w:left="560" w:hanging="260"/>
      </w:pPr>
      <w:r>
        <w:rPr>
          <w:b/>
          <w:bCs/>
          <w:color w:val="8186EF"/>
          <w:sz w:val="18"/>
          <w:szCs w:val="18"/>
        </w:rPr>
        <w:t xml:space="preserve">B. </w:t>
      </w:r>
      <w:r>
        <w:rPr>
          <w:sz w:val="18"/>
          <w:szCs w:val="18"/>
        </w:rPr>
        <w:t xml:space="preserve">LIFO</w:t>
      </w:r>
    </w:p>
    <w:p>
      <w:pPr>
        <w:spacing w:after="18"/>
        <w:ind w:left="560" w:hanging="260"/>
      </w:pPr>
      <w:r>
        <w:rPr>
          <w:b/>
          <w:bCs/>
          <w:color w:val="8186EF"/>
          <w:sz w:val="18"/>
          <w:szCs w:val="18"/>
        </w:rPr>
        <w:t xml:space="preserve">C. </w:t>
      </w:r>
      <w:r>
        <w:rPr>
          <w:sz w:val="18"/>
          <w:szCs w:val="18"/>
        </w:rPr>
        <w:t xml:space="preserve">Weighted average</w:t>
      </w:r>
    </w:p>
    <w:p>
      <w:pPr>
        <w:spacing w:after="18"/>
        <w:ind w:left="560" w:hanging="260"/>
      </w:pPr>
      <w:r>
        <w:rPr>
          <w:b/>
          <w:bCs/>
          <w:color w:val="8186EF"/>
          <w:sz w:val="18"/>
          <w:szCs w:val="18"/>
        </w:rPr>
        <w:t xml:space="preserve">D. </w:t>
      </w:r>
      <w:r>
        <w:rPr>
          <w:sz w:val="18"/>
          <w:szCs w:val="18"/>
        </w:rPr>
        <w:t xml:space="preserve">All methods give the same net income.</w:t>
      </w:r>
    </w:p>
    <w:p>
      <w:pPr>
        <w:spacing w:before="40" w:after="16"/>
        <w:ind w:left="300" w:hanging="300"/>
      </w:pPr>
      <w:r>
        <w:rPr>
          <w:b/>
          <w:bCs/>
          <w:color w:val="353A7C"/>
          <w:sz w:val="19"/>
          <w:szCs w:val="19"/>
        </w:rPr>
        <w:t xml:space="preserve">16.  </w:t>
      </w:r>
      <w:r>
        <w:rPr>
          <w:sz w:val="19"/>
          <w:szCs w:val="19"/>
        </w:rPr>
        <w:t xml:space="preserve">A company reports LIFO cost of goods sold of 500,000. Its LIFO reserve increased from 30,000 to 45,000 during the year. What would cost of goods sold be under FIFO?</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455,000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515,000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485,000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545,000</w:t>
            </w:r>
          </w:p>
        </w:tc>
      </w:tr>
    </w:tbl>
    <w:p>
      <w:pPr>
        <w:spacing w:before="40" w:after="16"/>
        <w:ind w:left="300" w:hanging="300"/>
      </w:pPr>
      <w:r>
        <w:rPr>
          <w:b/>
          <w:bCs/>
          <w:color w:val="353A7C"/>
          <w:sz w:val="19"/>
          <w:szCs w:val="19"/>
        </w:rPr>
        <w:t xml:space="preserve">17.  </w:t>
      </w:r>
      <w:r>
        <w:rPr>
          <w:sz w:val="19"/>
          <w:szCs w:val="19"/>
        </w:rPr>
        <w:t xml:space="preserve">Ending inventory for 2025 was understated. What are the effects on net income?</w:t>
      </w:r>
    </w:p>
    <w:p>
      <w:pPr>
        <w:spacing w:after="18"/>
        <w:ind w:left="560" w:hanging="260"/>
      </w:pPr>
      <w:r>
        <w:rPr>
          <w:b/>
          <w:bCs/>
          <w:color w:val="8186EF"/>
          <w:sz w:val="18"/>
          <w:szCs w:val="18"/>
        </w:rPr>
        <w:t xml:space="preserve">A. </w:t>
      </w:r>
      <w:r>
        <w:rPr>
          <w:sz w:val="18"/>
          <w:szCs w:val="18"/>
        </w:rPr>
        <w:t xml:space="preserve">2025 overstated; 2026 understated</w:t>
      </w:r>
    </w:p>
    <w:p>
      <w:pPr>
        <w:spacing w:after="18"/>
        <w:ind w:left="560" w:hanging="260"/>
      </w:pPr>
      <w:r>
        <w:rPr>
          <w:b/>
          <w:bCs/>
          <w:color w:val="8186EF"/>
          <w:sz w:val="18"/>
          <w:szCs w:val="18"/>
        </w:rPr>
        <w:t xml:space="preserve">B. </w:t>
      </w:r>
      <w:r>
        <w:rPr>
          <w:sz w:val="18"/>
          <w:szCs w:val="18"/>
        </w:rPr>
        <w:t xml:space="preserve">2025 understated; 2026 no effect</w:t>
      </w:r>
    </w:p>
    <w:p>
      <w:pPr>
        <w:spacing w:after="18"/>
        <w:ind w:left="560" w:hanging="260"/>
      </w:pPr>
      <w:r>
        <w:rPr>
          <w:b/>
          <w:bCs/>
          <w:color w:val="8186EF"/>
          <w:sz w:val="18"/>
          <w:szCs w:val="18"/>
        </w:rPr>
        <w:t xml:space="preserve">C. </w:t>
      </w:r>
      <w:r>
        <w:rPr>
          <w:sz w:val="18"/>
          <w:szCs w:val="18"/>
        </w:rPr>
        <w:t xml:space="preserve">No effect in either year</w:t>
      </w:r>
    </w:p>
    <w:p>
      <w:pPr>
        <w:spacing w:after="18"/>
        <w:ind w:left="560" w:hanging="260"/>
      </w:pPr>
      <w:r>
        <w:rPr>
          <w:b/>
          <w:bCs/>
          <w:color w:val="8186EF"/>
          <w:sz w:val="18"/>
          <w:szCs w:val="18"/>
        </w:rPr>
        <w:t xml:space="preserve">D. </w:t>
      </w:r>
      <w:r>
        <w:rPr>
          <w:sz w:val="18"/>
          <w:szCs w:val="18"/>
        </w:rPr>
        <w:t xml:space="preserve">2025 understated; 2026 overstated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On December 28, a supplier in Türkiye ships glass bottles to Orontes, FOB shipping point. They arrive on January 4. Who includes the bottles in inventory at December 31?</w:t>
            </w:r>
          </w:p>
          <w:p>
            <w:pPr>
              <w:spacing w:after="16"/>
              <w:ind w:left="500" w:hanging="200"/>
            </w:pPr>
            <w:r>
              <w:rPr>
                <w:b/>
                <w:bCs/>
                <w:color w:val="8186EF"/>
                <w:sz w:val="18"/>
                <w:szCs w:val="18"/>
              </w:rPr>
              <w:t xml:space="preserve">A. </w:t>
            </w:r>
            <w:r>
              <w:rPr>
                <w:sz w:val="18"/>
                <w:szCs w:val="18"/>
              </w:rPr>
              <w:t xml:space="preserve">The supplier, the seller</w:t>
            </w:r>
          </w:p>
          <w:p>
            <w:pPr>
              <w:spacing w:after="16"/>
              <w:ind w:left="500" w:hanging="200"/>
            </w:pPr>
            <w:r>
              <w:rPr>
                <w:b/>
                <w:bCs/>
                <w:color w:val="8186EF"/>
                <w:sz w:val="18"/>
                <w:szCs w:val="18"/>
              </w:rPr>
              <w:t xml:space="preserve">B. </w:t>
            </w:r>
            <w:r>
              <w:rPr>
                <w:sz w:val="18"/>
                <w:szCs w:val="18"/>
              </w:rPr>
              <w:t xml:space="preserve">Neither company until the bottles arrive</w:t>
            </w:r>
          </w:p>
          <w:p>
            <w:pPr>
              <w:spacing w:after="16"/>
              <w:ind w:left="500" w:hanging="200"/>
            </w:pPr>
            <w:r>
              <w:rPr>
                <w:b/>
                <w:bCs/>
                <w:color w:val="8186EF"/>
                <w:sz w:val="18"/>
                <w:szCs w:val="18"/>
              </w:rPr>
              <w:t xml:space="preserve">C. </w:t>
            </w:r>
            <w:r>
              <w:rPr>
                <w:sz w:val="18"/>
                <w:szCs w:val="18"/>
              </w:rPr>
              <w:t xml:space="preserve">Both companies, half each</w:t>
            </w:r>
          </w:p>
          <w:p>
            <w:pPr>
              <w:spacing w:after="16"/>
              <w:ind w:left="500" w:hanging="200"/>
            </w:pPr>
            <w:r>
              <w:rPr>
                <w:b/>
                <w:bCs/>
                <w:color w:val="8186EF"/>
                <w:sz w:val="18"/>
                <w:szCs w:val="18"/>
              </w:rPr>
              <w:t xml:space="preserve">D. </w:t>
            </w:r>
            <w:r>
              <w:rPr>
                <w:sz w:val="18"/>
                <w:szCs w:val="18"/>
              </w:rPr>
              <w:t xml:space="preserve">Orontes, the buyer</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16"/>
        <w:gridCol w:w="818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738"/>
            <w:tcMar>
              <w:top w:type="dxa" w:w="50"/>
              <w:left w:type="dxa" w:w="110"/>
              <w:bottom w:type="dxa" w:w="50"/>
              <w:right w:type="dxa" w:w="110"/>
            </w:tcMar>
          </w:tcPr>
          <w:p>
            <w:pPr>
              <w:spacing w:before="26" w:after="26"/>
            </w:pPr>
            <w:r>
              <w:rPr>
                <w:b/>
                <w:bCs/>
                <w:color w:val="353A7C"/>
                <w:sz w:val="15"/>
                <w:szCs w:val="15"/>
              </w:rPr>
              <w:t xml:space="preserve">Item</w:t>
            </w:r>
          </w:p>
        </w:tc>
        <w:tc>
          <w:tcPr>
            <w:tcW w:type="pct" w:w="4262"/>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738"/>
            <w:tcMar>
              <w:top w:type="dxa" w:w="50"/>
              <w:left w:type="dxa" w:w="110"/>
              <w:bottom w:type="dxa" w:w="50"/>
              <w:right w:type="dxa" w:w="110"/>
            </w:tcMar>
          </w:tcPr>
          <w:p>
            <w:pPr>
              <w:spacing w:before="26" w:after="26"/>
            </w:pPr>
            <w:r>
              <w:rPr>
                <w:color w:val="232733"/>
                <w:sz w:val="16"/>
                <w:szCs w:val="16"/>
              </w:rPr>
              <w:t xml:space="preserve">C7-1</w:t>
            </w:r>
          </w:p>
        </w:tc>
        <w:tc>
          <w:tcPr>
            <w:tcW w:type="pct" w:w="4262"/>
            <w:tcMar>
              <w:top w:type="dxa" w:w="50"/>
              <w:left w:type="dxa" w:w="110"/>
              <w:bottom w:type="dxa" w:w="50"/>
              <w:right w:type="dxa" w:w="110"/>
            </w:tcMar>
          </w:tcPr>
          <w:p>
            <w:pPr>
              <w:spacing w:before="26" w:after="26"/>
            </w:pPr>
            <w:r>
              <w:rPr>
                <w:color w:val="232733"/>
                <w:sz w:val="16"/>
                <w:szCs w:val="16"/>
              </w:rPr>
              <w:t xml:space="preserve">For each memo item, decide how Orontes should adjust the physical count. (On the exam screen you would drag each item in</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C7-2</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Enter the correct number of cartons in ending inventory.</w:t>
            </w:r>
          </w:p>
        </w:tc>
      </w:tr>
      <w:tr>
        <w:tc>
          <w:tcPr>
            <w:tcW w:type="pct" w:w="738"/>
            <w:tcMar>
              <w:top w:type="dxa" w:w="50"/>
              <w:left w:type="dxa" w:w="110"/>
              <w:bottom w:type="dxa" w:w="50"/>
              <w:right w:type="dxa" w:w="110"/>
            </w:tcMar>
          </w:tcPr>
          <w:p>
            <w:pPr>
              <w:spacing w:before="26" w:after="26"/>
            </w:pPr>
            <w:r>
              <w:rPr>
                <w:color w:val="232733"/>
                <w:sz w:val="16"/>
                <w:szCs w:val="16"/>
              </w:rPr>
              <w:t xml:space="preserve">C7-3</w:t>
            </w:r>
          </w:p>
        </w:tc>
        <w:tc>
          <w:tcPr>
            <w:tcW w:type="pct" w:w="4262"/>
            <w:tcMar>
              <w:top w:type="dxa" w:w="50"/>
              <w:left w:type="dxa" w:w="110"/>
              <w:bottom w:type="dxa" w:w="50"/>
              <w:right w:type="dxa" w:w="110"/>
            </w:tcMar>
          </w:tcPr>
          <w:p>
            <w:pPr>
              <w:spacing w:before="26" w:after="26"/>
            </w:pPr>
            <w:r>
              <w:rPr>
                <w:color w:val="232733"/>
                <w:sz w:val="16"/>
                <w:szCs w:val="16"/>
              </w:rPr>
              <w:t xml:space="preserve">Enter FIFO ending inventory in USD.</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C7-4</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Enter weighted-average cost of goods sold in USD.</w:t>
            </w:r>
          </w:p>
        </w:tc>
      </w:tr>
      <w:tr>
        <w:tc>
          <w:tcPr>
            <w:tcW w:type="pct" w:w="738"/>
            <w:tcMar>
              <w:top w:type="dxa" w:w="50"/>
              <w:left w:type="dxa" w:w="110"/>
              <w:bottom w:type="dxa" w:w="50"/>
              <w:right w:type="dxa" w:w="110"/>
            </w:tcMar>
          </w:tcPr>
          <w:p>
            <w:pPr>
              <w:spacing w:before="26" w:after="26"/>
            </w:pPr>
            <w:r>
              <w:rPr>
                <w:color w:val="232733"/>
                <w:sz w:val="16"/>
                <w:szCs w:val="16"/>
              </w:rPr>
              <w:t xml:space="preserve">C7-5</w:t>
            </w:r>
          </w:p>
        </w:tc>
        <w:tc>
          <w:tcPr>
            <w:tcW w:type="pct" w:w="4262"/>
            <w:tcMar>
              <w:top w:type="dxa" w:w="50"/>
              <w:left w:type="dxa" w:w="110"/>
              <w:bottom w:type="dxa" w:w="50"/>
              <w:right w:type="dxa" w:w="110"/>
            </w:tcMar>
          </w:tcPr>
          <w:p>
            <w:pPr>
              <w:spacing w:before="26" w:after="26"/>
            </w:pPr>
            <w:r>
              <w:rPr>
                <w:color w:val="232733"/>
                <w:sz w:val="16"/>
                <w:szCs w:val="16"/>
              </w:rPr>
              <w:t xml:space="preserve">If Orontes had used the unadjusted count, its FIFO cost of goods sold would have been: [select]</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C7-6</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If Orontes used periodic LIFO for tahini, what would the LIFO reserve be at December 31 (USD)? The beginning layer is th</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Which of these does item C7-1 ask for?</w:t>
      </w:r>
    </w:p>
    <w:p>
      <w:pPr>
        <w:spacing w:after="18"/>
        <w:ind w:left="560" w:hanging="260"/>
      </w:pPr>
      <w:r>
        <w:rPr>
          <w:b/>
          <w:bCs/>
          <w:color w:val="8186EF"/>
          <w:sz w:val="18"/>
          <w:szCs w:val="18"/>
        </w:rPr>
        <w:t xml:space="preserve">A. </w:t>
      </w:r>
      <w:r>
        <w:rPr>
          <w:sz w:val="18"/>
          <w:szCs w:val="18"/>
        </w:rPr>
        <w:t xml:space="preserve">For each memo item, decide how Orontes should adjust the physical coun</w:t>
      </w:r>
    </w:p>
    <w:p>
      <w:pPr>
        <w:spacing w:after="18"/>
        <w:ind w:left="560" w:hanging="260"/>
      </w:pPr>
      <w:r>
        <w:rPr>
          <w:b/>
          <w:bCs/>
          <w:color w:val="8186EF"/>
          <w:sz w:val="18"/>
          <w:szCs w:val="18"/>
        </w:rPr>
        <w:t xml:space="preserve">B. </w:t>
      </w:r>
      <w:r>
        <w:rPr>
          <w:sz w:val="18"/>
          <w:szCs w:val="18"/>
        </w:rPr>
        <w:t xml:space="preserve">Enter the correct number of cartons in ending inventory.</w:t>
      </w:r>
    </w:p>
    <w:p>
      <w:pPr>
        <w:spacing w:after="18"/>
        <w:ind w:left="560" w:hanging="260"/>
      </w:pPr>
      <w:r>
        <w:rPr>
          <w:b/>
          <w:bCs/>
          <w:color w:val="8186EF"/>
          <w:sz w:val="18"/>
          <w:szCs w:val="18"/>
        </w:rPr>
        <w:t xml:space="preserve">C. </w:t>
      </w:r>
      <w:r>
        <w:rPr>
          <w:sz w:val="18"/>
          <w:szCs w:val="18"/>
        </w:rPr>
        <w:t xml:space="preserve">Enter weighted-average cost of goods sold in USD.</w:t>
      </w:r>
    </w:p>
    <w:p>
      <w:pPr>
        <w:spacing w:after="18"/>
        <w:ind w:left="560" w:hanging="260"/>
      </w:pPr>
      <w:r>
        <w:rPr>
          <w:b/>
          <w:bCs/>
          <w:color w:val="8186EF"/>
          <w:sz w:val="18"/>
          <w:szCs w:val="18"/>
        </w:rPr>
        <w:t xml:space="preserve">D. </w:t>
      </w:r>
      <w:r>
        <w:rPr>
          <w:sz w:val="18"/>
          <w:szCs w:val="18"/>
        </w:rPr>
        <w:t xml:space="preserve">Enter FIFO ending inventory in USD.</w:t>
      </w:r>
    </w:p>
    <w:p>
      <w:pPr>
        <w:spacing w:before="40" w:after="16"/>
        <w:ind w:left="300" w:hanging="300"/>
      </w:pPr>
      <w:r>
        <w:rPr>
          <w:b/>
          <w:bCs/>
          <w:color w:val="353A7C"/>
          <w:sz w:val="19"/>
          <w:szCs w:val="19"/>
        </w:rPr>
        <w:t xml:space="preserve">21.  </w:t>
      </w:r>
      <w:r>
        <w:rPr>
          <w:sz w:val="19"/>
          <w:szCs w:val="19"/>
        </w:rPr>
        <w:t xml:space="preserve">Which of these does item C7-2 ask for?</w:t>
      </w:r>
    </w:p>
    <w:p>
      <w:pPr>
        <w:spacing w:after="18"/>
        <w:ind w:left="560" w:hanging="260"/>
      </w:pPr>
      <w:r>
        <w:rPr>
          <w:b/>
          <w:bCs/>
          <w:color w:val="8186EF"/>
          <w:sz w:val="18"/>
          <w:szCs w:val="18"/>
        </w:rPr>
        <w:t xml:space="preserve">A. </w:t>
      </w:r>
      <w:r>
        <w:rPr>
          <w:sz w:val="18"/>
          <w:szCs w:val="18"/>
        </w:rPr>
        <w:t xml:space="preserve">Enter the correct number of cartons in ending inventory.</w:t>
      </w:r>
    </w:p>
    <w:p>
      <w:pPr>
        <w:spacing w:after="18"/>
        <w:ind w:left="560" w:hanging="260"/>
      </w:pPr>
      <w:r>
        <w:rPr>
          <w:b/>
          <w:bCs/>
          <w:color w:val="8186EF"/>
          <w:sz w:val="18"/>
          <w:szCs w:val="18"/>
        </w:rPr>
        <w:t xml:space="preserve">B. </w:t>
      </w:r>
      <w:r>
        <w:rPr>
          <w:sz w:val="18"/>
          <w:szCs w:val="18"/>
        </w:rPr>
        <w:t xml:space="preserve">Enter weighted-average cost of goods sold in USD.</w:t>
      </w:r>
    </w:p>
    <w:p>
      <w:pPr>
        <w:spacing w:after="18"/>
        <w:ind w:left="560" w:hanging="260"/>
      </w:pPr>
      <w:r>
        <w:rPr>
          <w:b/>
          <w:bCs/>
          <w:color w:val="8186EF"/>
          <w:sz w:val="18"/>
          <w:szCs w:val="18"/>
        </w:rPr>
        <w:t xml:space="preserve">C. </w:t>
      </w:r>
      <w:r>
        <w:rPr>
          <w:sz w:val="18"/>
          <w:szCs w:val="18"/>
        </w:rPr>
        <w:t xml:space="preserve">For each memo item, decide how Orontes should adjust the physical coun</w:t>
      </w:r>
    </w:p>
    <w:p>
      <w:pPr>
        <w:spacing w:after="18"/>
        <w:ind w:left="560" w:hanging="260"/>
      </w:pPr>
      <w:r>
        <w:rPr>
          <w:b/>
          <w:bCs/>
          <w:color w:val="8186EF"/>
          <w:sz w:val="18"/>
          <w:szCs w:val="18"/>
        </w:rPr>
        <w:t xml:space="preserve">D. </w:t>
      </w:r>
      <w:r>
        <w:rPr>
          <w:sz w:val="18"/>
          <w:szCs w:val="18"/>
        </w:rPr>
        <w:t xml:space="preserve">Enter FIFO ending inventory in USD.</w:t>
      </w:r>
    </w:p>
    <w:p>
      <w:pPr>
        <w:spacing w:before="40" w:after="16"/>
        <w:ind w:left="300" w:hanging="300"/>
      </w:pPr>
      <w:r>
        <w:rPr>
          <w:b/>
          <w:bCs/>
          <w:color w:val="353A7C"/>
          <w:sz w:val="19"/>
          <w:szCs w:val="19"/>
        </w:rPr>
        <w:t xml:space="preserve">22.  </w:t>
      </w:r>
      <w:r>
        <w:rPr>
          <w:sz w:val="19"/>
          <w:szCs w:val="19"/>
        </w:rPr>
        <w:t xml:space="preserve">Which of these does item C7-3 ask for?</w:t>
      </w:r>
    </w:p>
    <w:p>
      <w:pPr>
        <w:spacing w:after="18"/>
        <w:ind w:left="560" w:hanging="260"/>
      </w:pPr>
      <w:r>
        <w:rPr>
          <w:b/>
          <w:bCs/>
          <w:color w:val="8186EF"/>
          <w:sz w:val="18"/>
          <w:szCs w:val="18"/>
        </w:rPr>
        <w:t xml:space="preserve">A. </w:t>
      </w:r>
      <w:r>
        <w:rPr>
          <w:sz w:val="18"/>
          <w:szCs w:val="18"/>
        </w:rPr>
        <w:t xml:space="preserve">For each memo item, decide how Orontes should adjust the physical coun</w:t>
      </w:r>
    </w:p>
    <w:p>
      <w:pPr>
        <w:spacing w:after="18"/>
        <w:ind w:left="560" w:hanging="260"/>
      </w:pPr>
      <w:r>
        <w:rPr>
          <w:b/>
          <w:bCs/>
          <w:color w:val="8186EF"/>
          <w:sz w:val="18"/>
          <w:szCs w:val="18"/>
        </w:rPr>
        <w:t xml:space="preserve">B. </w:t>
      </w:r>
      <w:r>
        <w:rPr>
          <w:sz w:val="18"/>
          <w:szCs w:val="18"/>
        </w:rPr>
        <w:t xml:space="preserve">Enter weighted-average cost of goods sold in USD.</w:t>
      </w:r>
    </w:p>
    <w:p>
      <w:pPr>
        <w:spacing w:after="18"/>
        <w:ind w:left="560" w:hanging="260"/>
      </w:pPr>
      <w:r>
        <w:rPr>
          <w:b/>
          <w:bCs/>
          <w:color w:val="8186EF"/>
          <w:sz w:val="18"/>
          <w:szCs w:val="18"/>
        </w:rPr>
        <w:t xml:space="preserve">C. </w:t>
      </w:r>
      <w:r>
        <w:rPr>
          <w:sz w:val="18"/>
          <w:szCs w:val="18"/>
        </w:rPr>
        <w:t xml:space="preserve">Enter the correct number of cartons in ending inventory.</w:t>
      </w:r>
    </w:p>
    <w:p>
      <w:pPr>
        <w:spacing w:after="18"/>
        <w:ind w:left="560" w:hanging="260"/>
      </w:pPr>
      <w:r>
        <w:rPr>
          <w:b/>
          <w:bCs/>
          <w:color w:val="8186EF"/>
          <w:sz w:val="18"/>
          <w:szCs w:val="18"/>
        </w:rPr>
        <w:t xml:space="preserve">D. </w:t>
      </w:r>
      <w:r>
        <w:rPr>
          <w:sz w:val="18"/>
          <w:szCs w:val="18"/>
        </w:rPr>
        <w:t xml:space="preserve">Enter FIFO ending inventory in USD.</w:t>
      </w:r>
    </w:p>
    <w:p>
      <w:pPr>
        <w:spacing w:before="40" w:after="16"/>
        <w:ind w:left="300" w:hanging="300"/>
      </w:pPr>
      <w:r>
        <w:rPr>
          <w:b/>
          <w:bCs/>
          <w:color w:val="353A7C"/>
          <w:sz w:val="19"/>
          <w:szCs w:val="19"/>
        </w:rPr>
        <w:t xml:space="preserve">23.  </w:t>
      </w:r>
      <w:r>
        <w:rPr>
          <w:sz w:val="19"/>
          <w:szCs w:val="19"/>
        </w:rPr>
        <w:t xml:space="preserve">Which of these does item C7-4 ask for?</w:t>
      </w:r>
    </w:p>
    <w:p>
      <w:pPr>
        <w:spacing w:after="18"/>
        <w:ind w:left="560" w:hanging="260"/>
      </w:pPr>
      <w:r>
        <w:rPr>
          <w:b/>
          <w:bCs/>
          <w:color w:val="8186EF"/>
          <w:sz w:val="18"/>
          <w:szCs w:val="18"/>
        </w:rPr>
        <w:t xml:space="preserve">A. </w:t>
      </w:r>
      <w:r>
        <w:rPr>
          <w:sz w:val="18"/>
          <w:szCs w:val="18"/>
        </w:rPr>
        <w:t xml:space="preserve">Enter the correct number of cartons in ending inventory.</w:t>
      </w:r>
    </w:p>
    <w:p>
      <w:pPr>
        <w:spacing w:after="18"/>
        <w:ind w:left="560" w:hanging="260"/>
      </w:pPr>
      <w:r>
        <w:rPr>
          <w:b/>
          <w:bCs/>
          <w:color w:val="8186EF"/>
          <w:sz w:val="18"/>
          <w:szCs w:val="18"/>
        </w:rPr>
        <w:t xml:space="preserve">B. </w:t>
      </w:r>
      <w:r>
        <w:rPr>
          <w:sz w:val="18"/>
          <w:szCs w:val="18"/>
        </w:rPr>
        <w:t xml:space="preserve">Enter FIFO ending inventory in USD.</w:t>
      </w:r>
    </w:p>
    <w:p>
      <w:pPr>
        <w:spacing w:after="18"/>
        <w:ind w:left="560" w:hanging="260"/>
      </w:pPr>
      <w:r>
        <w:rPr>
          <w:b/>
          <w:bCs/>
          <w:color w:val="8186EF"/>
          <w:sz w:val="18"/>
          <w:szCs w:val="18"/>
        </w:rPr>
        <w:t xml:space="preserve">C. </w:t>
      </w:r>
      <w:r>
        <w:rPr>
          <w:sz w:val="18"/>
          <w:szCs w:val="18"/>
        </w:rPr>
        <w:t xml:space="preserve">Enter weighted-average cost of goods sold in USD.</w:t>
      </w:r>
    </w:p>
    <w:p>
      <w:pPr>
        <w:spacing w:after="18"/>
        <w:ind w:left="560" w:hanging="260"/>
      </w:pPr>
      <w:r>
        <w:rPr>
          <w:b/>
          <w:bCs/>
          <w:color w:val="8186EF"/>
          <w:sz w:val="18"/>
          <w:szCs w:val="18"/>
        </w:rPr>
        <w:t xml:space="preserve">D. </w:t>
      </w:r>
      <w:r>
        <w:rPr>
          <w:sz w:val="18"/>
          <w:szCs w:val="18"/>
        </w:rPr>
        <w:t xml:space="preserve">For each memo item, decide how Orontes should adjust the physical coun</w:t>
      </w:r>
    </w:p>
    <w:p>
      <w:pPr>
        <w:spacing w:before="40" w:after="16"/>
        <w:ind w:left="300" w:hanging="300"/>
      </w:pPr>
      <w:r>
        <w:rPr>
          <w:b/>
          <w:bCs/>
          <w:color w:val="353A7C"/>
          <w:sz w:val="19"/>
          <w:szCs w:val="19"/>
        </w:rPr>
        <w:t xml:space="preserve">24.  </w:t>
      </w:r>
      <w:r>
        <w:rPr>
          <w:sz w:val="19"/>
          <w:szCs w:val="19"/>
        </w:rPr>
        <w:t xml:space="preserve">Which of these does item C7-5 ask for?</w:t>
      </w:r>
    </w:p>
    <w:p>
      <w:pPr>
        <w:spacing w:after="18"/>
        <w:ind w:left="560" w:hanging="260"/>
      </w:pPr>
      <w:r>
        <w:rPr>
          <w:b/>
          <w:bCs/>
          <w:color w:val="8186EF"/>
          <w:sz w:val="18"/>
          <w:szCs w:val="18"/>
        </w:rPr>
        <w:t xml:space="preserve">A. </w:t>
      </w:r>
      <w:r>
        <w:rPr>
          <w:sz w:val="18"/>
          <w:szCs w:val="18"/>
        </w:rPr>
        <w:t xml:space="preserve">Enter FIFO ending inventory in USD.</w:t>
      </w:r>
    </w:p>
    <w:p>
      <w:pPr>
        <w:spacing w:after="18"/>
        <w:ind w:left="560" w:hanging="260"/>
      </w:pPr>
      <w:r>
        <w:rPr>
          <w:b/>
          <w:bCs/>
          <w:color w:val="8186EF"/>
          <w:sz w:val="18"/>
          <w:szCs w:val="18"/>
        </w:rPr>
        <w:t xml:space="preserve">B. </w:t>
      </w:r>
      <w:r>
        <w:rPr>
          <w:sz w:val="18"/>
          <w:szCs w:val="18"/>
        </w:rPr>
        <w:t xml:space="preserve">If Orontes had used the unadjusted count, its FIFO cost of goods sold </w:t>
      </w:r>
    </w:p>
    <w:p>
      <w:pPr>
        <w:spacing w:after="18"/>
        <w:ind w:left="560" w:hanging="260"/>
      </w:pPr>
      <w:r>
        <w:rPr>
          <w:b/>
          <w:bCs/>
          <w:color w:val="8186EF"/>
          <w:sz w:val="18"/>
          <w:szCs w:val="18"/>
        </w:rPr>
        <w:t xml:space="preserve">C. </w:t>
      </w:r>
      <w:r>
        <w:rPr>
          <w:sz w:val="18"/>
          <w:szCs w:val="18"/>
        </w:rPr>
        <w:t xml:space="preserve">For each memo item, decide how Orontes should adjust the physical coun</w:t>
      </w:r>
    </w:p>
    <w:p>
      <w:pPr>
        <w:spacing w:after="18"/>
        <w:ind w:left="560" w:hanging="260"/>
      </w:pPr>
      <w:r>
        <w:rPr>
          <w:b/>
          <w:bCs/>
          <w:color w:val="8186EF"/>
          <w:sz w:val="18"/>
          <w:szCs w:val="18"/>
        </w:rPr>
        <w:t xml:space="preserve">D. </w:t>
      </w:r>
      <w:r>
        <w:rPr>
          <w:sz w:val="18"/>
          <w:szCs w:val="18"/>
        </w:rPr>
        <w:t xml:space="preserve">Enter the correct number of cartons in ending inventory.</w:t>
      </w:r>
    </w:p>
    <w:p>
      <w:pPr>
        <w:spacing w:before="40" w:after="16"/>
        <w:ind w:left="300" w:hanging="300"/>
      </w:pPr>
      <w:r>
        <w:rPr>
          <w:b/>
          <w:bCs/>
          <w:color w:val="353A7C"/>
          <w:sz w:val="19"/>
          <w:szCs w:val="19"/>
        </w:rPr>
        <w:t xml:space="preserve">25.  </w:t>
      </w:r>
      <w:r>
        <w:rPr>
          <w:sz w:val="19"/>
          <w:szCs w:val="19"/>
        </w:rPr>
        <w:t xml:space="preserve">Which of these does item C7-6 ask for?</w:t>
      </w:r>
    </w:p>
    <w:p>
      <w:pPr>
        <w:spacing w:after="18"/>
        <w:ind w:left="560" w:hanging="260"/>
      </w:pPr>
      <w:r>
        <w:rPr>
          <w:b/>
          <w:bCs/>
          <w:color w:val="8186EF"/>
          <w:sz w:val="18"/>
          <w:szCs w:val="18"/>
        </w:rPr>
        <w:t xml:space="preserve">A. </w:t>
      </w:r>
      <w:r>
        <w:rPr>
          <w:sz w:val="18"/>
          <w:szCs w:val="18"/>
        </w:rPr>
        <w:t xml:space="preserve">If Orontes used periodic LIFO for tahini, what would the LIFO reserve </w:t>
      </w:r>
    </w:p>
    <w:p>
      <w:pPr>
        <w:spacing w:after="18"/>
        <w:ind w:left="560" w:hanging="260"/>
      </w:pPr>
      <w:r>
        <w:rPr>
          <w:b/>
          <w:bCs/>
          <w:color w:val="8186EF"/>
          <w:sz w:val="18"/>
          <w:szCs w:val="18"/>
        </w:rPr>
        <w:t xml:space="preserve">B. </w:t>
      </w:r>
      <w:r>
        <w:rPr>
          <w:sz w:val="18"/>
          <w:szCs w:val="18"/>
        </w:rPr>
        <w:t xml:space="preserve">Enter FIFO ending inventory in USD.</w:t>
      </w:r>
    </w:p>
    <w:p>
      <w:pPr>
        <w:spacing w:after="18"/>
        <w:ind w:left="560" w:hanging="260"/>
      </w:pPr>
      <w:r>
        <w:rPr>
          <w:b/>
          <w:bCs/>
          <w:color w:val="8186EF"/>
          <w:sz w:val="18"/>
          <w:szCs w:val="18"/>
        </w:rPr>
        <w:t xml:space="preserve">C. </w:t>
      </w:r>
      <w:r>
        <w:rPr>
          <w:sz w:val="18"/>
          <w:szCs w:val="18"/>
        </w:rPr>
        <w:t xml:space="preserve">For each memo item, decide how Orontes should adjust the physical coun</w:t>
      </w:r>
    </w:p>
    <w:p>
      <w:pPr>
        <w:spacing w:after="18"/>
        <w:ind w:left="560" w:hanging="260"/>
      </w:pPr>
      <w:r>
        <w:rPr>
          <w:b/>
          <w:bCs/>
          <w:color w:val="8186EF"/>
          <w:sz w:val="18"/>
          <w:szCs w:val="18"/>
        </w:rPr>
        <w:t xml:space="preserve">D. </w:t>
      </w:r>
      <w:r>
        <w:rPr>
          <w:sz w:val="18"/>
          <w:szCs w:val="18"/>
        </w:rPr>
        <w:t xml:space="preserve">Enter the correct number of cartons in ending inventory.</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26.  </w:t>
      </w:r>
      <w:r>
        <w:rPr>
          <w:sz w:val="19"/>
          <w:szCs w:val="19"/>
        </w:rPr>
        <w:t xml:space="preserve">On December 28, a supplier in Türkiye ships glass bottles to Orontes, FOB shipping point. They arrive on January 4. Who includes the bottles in inventory at December 31?</w:t>
      </w:r>
    </w:p>
    <w:p>
      <w:pPr>
        <w:spacing w:after="18"/>
        <w:ind w:left="560" w:hanging="260"/>
      </w:pPr>
      <w:r>
        <w:rPr>
          <w:b/>
          <w:bCs/>
          <w:color w:val="8186EF"/>
          <w:sz w:val="18"/>
          <w:szCs w:val="18"/>
        </w:rPr>
        <w:t xml:space="preserve">A. </w:t>
      </w:r>
      <w:r>
        <w:rPr>
          <w:sz w:val="18"/>
          <w:szCs w:val="18"/>
        </w:rPr>
        <w:t xml:space="preserve">The supplier, the seller</w:t>
      </w:r>
    </w:p>
    <w:p>
      <w:pPr>
        <w:spacing w:after="18"/>
        <w:ind w:left="560" w:hanging="260"/>
      </w:pPr>
      <w:r>
        <w:rPr>
          <w:b/>
          <w:bCs/>
          <w:color w:val="8186EF"/>
          <w:sz w:val="18"/>
          <w:szCs w:val="18"/>
        </w:rPr>
        <w:t xml:space="preserve">B. </w:t>
      </w:r>
      <w:r>
        <w:rPr>
          <w:sz w:val="18"/>
          <w:szCs w:val="18"/>
        </w:rPr>
        <w:t xml:space="preserve">Neither company until the bottles arrive</w:t>
      </w:r>
    </w:p>
    <w:p>
      <w:pPr>
        <w:spacing w:after="18"/>
        <w:ind w:left="560" w:hanging="260"/>
      </w:pPr>
      <w:r>
        <w:rPr>
          <w:b/>
          <w:bCs/>
          <w:color w:val="8186EF"/>
          <w:sz w:val="18"/>
          <w:szCs w:val="18"/>
        </w:rPr>
        <w:t xml:space="preserve">C. </w:t>
      </w:r>
      <w:r>
        <w:rPr>
          <w:sz w:val="18"/>
          <w:szCs w:val="18"/>
        </w:rPr>
        <w:t xml:space="preserve">Both companies, half each</w:t>
      </w:r>
    </w:p>
    <w:p>
      <w:pPr>
        <w:spacing w:after="18"/>
        <w:ind w:left="560" w:hanging="260"/>
      </w:pPr>
      <w:r>
        <w:rPr>
          <w:b/>
          <w:bCs/>
          <w:color w:val="8186EF"/>
          <w:sz w:val="18"/>
          <w:szCs w:val="18"/>
        </w:rPr>
        <w:t xml:space="preserve">D. </w:t>
      </w:r>
      <w:r>
        <w:rPr>
          <w:sz w:val="18"/>
          <w:szCs w:val="18"/>
        </w:rPr>
        <w:t xml:space="preserve">Orontes, the buyer</w:t>
      </w:r>
    </w:p>
    <w:p>
      <w:pPr>
        <w:pageBreakBefore w:val="true"/>
        <w:spacing w:after="0"/>
      </w:pPr>
      <w:r>
        <w:rPr>
          <w:sz w:val="2"/>
        </w:rPr>
        <w:t xml:space="preserve"> </w:t>
      </w:r>
    </w:p>
    <w:p>
      <w:pPr>
        <w:spacing w:before="40" w:after="16"/>
        <w:ind w:left="300" w:hanging="300"/>
      </w:pPr>
      <w:r>
        <w:rPr>
          <w:b/>
          <w:bCs/>
          <w:color w:val="353A7C"/>
          <w:sz w:val="19"/>
          <w:szCs w:val="19"/>
        </w:rPr>
        <w:t xml:space="preserve">27.  </w:t>
      </w:r>
      <w:r>
        <w:rPr>
          <w:sz w:val="19"/>
          <w:szCs w:val="19"/>
        </w:rPr>
        <w:t xml:space="preserve">Barada Wholesale holds cartons of Orontes tahini on consignment and sells them for a commission. Which statement is correct at year-end?</w:t>
      </w:r>
    </w:p>
    <w:p>
      <w:pPr>
        <w:spacing w:after="18"/>
        <w:ind w:left="560" w:hanging="260"/>
      </w:pPr>
      <w:r>
        <w:rPr>
          <w:b/>
          <w:bCs/>
          <w:color w:val="8186EF"/>
          <w:sz w:val="18"/>
          <w:szCs w:val="18"/>
        </w:rPr>
        <w:t xml:space="preserve">A. </w:t>
      </w:r>
      <w:r>
        <w:rPr>
          <w:sz w:val="18"/>
          <w:szCs w:val="18"/>
        </w:rPr>
        <w:t xml:space="preserve">Orontes includes the cartons in inventory; Barada does not.</w:t>
      </w:r>
    </w:p>
    <w:p>
      <w:pPr>
        <w:spacing w:after="18"/>
        <w:ind w:left="560" w:hanging="260"/>
      </w:pPr>
      <w:r>
        <w:rPr>
          <w:b/>
          <w:bCs/>
          <w:color w:val="8186EF"/>
          <w:sz w:val="18"/>
          <w:szCs w:val="18"/>
        </w:rPr>
        <w:t xml:space="preserve">B. </w:t>
      </w:r>
      <w:r>
        <w:rPr>
          <w:sz w:val="18"/>
          <w:szCs w:val="18"/>
        </w:rPr>
        <w:t xml:space="preserve">Barada includes the cartons because they are in its warehouse.</w:t>
      </w:r>
    </w:p>
    <w:p>
      <w:pPr>
        <w:spacing w:after="18"/>
        <w:ind w:left="560" w:hanging="260"/>
      </w:pPr>
      <w:r>
        <w:rPr>
          <w:b/>
          <w:bCs/>
          <w:color w:val="8186EF"/>
          <w:sz w:val="18"/>
          <w:szCs w:val="18"/>
        </w:rPr>
        <w:t xml:space="preserve">C. </w:t>
      </w:r>
      <w:r>
        <w:rPr>
          <w:sz w:val="18"/>
          <w:szCs w:val="18"/>
        </w:rPr>
        <w:t xml:space="preserve">Both companies include the cartons.</w:t>
      </w:r>
    </w:p>
    <w:p>
      <w:pPr>
        <w:spacing w:after="18"/>
        <w:ind w:left="560" w:hanging="260"/>
      </w:pPr>
      <w:r>
        <w:rPr>
          <w:b/>
          <w:bCs/>
          <w:color w:val="8186EF"/>
          <w:sz w:val="18"/>
          <w:szCs w:val="18"/>
        </w:rPr>
        <w:t xml:space="preserve">D. </w:t>
      </w:r>
      <w:r>
        <w:rPr>
          <w:sz w:val="18"/>
          <w:szCs w:val="18"/>
        </w:rPr>
        <w:t xml:space="preserve">Neither company includes the cartons until they are sold.</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28.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29.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30.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inventory  ·  cost of goods sold  ·  goods available for sale  ·  FIFO (first-in, first-out)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7.6 · The whole chapter</w:t>
          </w:r>
        </w:p>
      </w:tc>
      <w:tc>
        <w:tcPr>
          <w:tcW w:type="pct" w:w="1400"/>
          <w:tcMar>
            <w:top w:type="dxa" w:w="-30"/>
            <w:left w:type="dxa" w:w="30"/>
            <w:bottom w:type="dxa" w:w="-30"/>
            <w:right w:type="dxa" w:w="30"/>
          </w:tcMar>
        </w:tcPr>
        <w:p>
          <w:pPr>
            <w:jc w:val="right"/>
          </w:pPr>
          <w:r>
            <w:rPr>
              <w:color w:val="6B7280"/>
              <w:sz w:val="16"/>
              <w:szCs w:val="16"/>
            </w:rPr>
            <w:t xml:space="preserve">Handout 7.6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23a075c2819099cc8694f582f2f878dc7412534.png" Type="http://schemas.openxmlformats.org/officeDocument/2006/relationships/image"/><Relationship Id="rId102" Target="media/9a674441c002fa43215a53a63a36f57d28853536.png" Type="http://schemas.openxmlformats.org/officeDocument/2006/relationships/image"/><Relationship Id="rId103" Target="media/6175c1ee150b1b4bbb03e9e30fef7af1cf2d8c5f.png" Type="http://schemas.openxmlformats.org/officeDocument/2006/relationships/image"/><Relationship Id="rId104" Target="media/7ecb66f4d75e9558ebc455f514da33162506d546.png" Type="http://schemas.openxmlformats.org/officeDocument/2006/relationships/image"/><Relationship Id="rId105" Target="media/b55be6cbd83975a2f2fc0cbfe81626b3e34049f9.png" Type="http://schemas.openxmlformats.org/officeDocument/2006/relationships/image"/><Relationship Id="rId106" Target="media/4762757308611a9627dc6a3a230537732bdff260.png" Type="http://schemas.openxmlformats.org/officeDocument/2006/relationships/image"/><Relationship Id="rId107" Target="media/9a7033564d17e3483222d7d601f180ff7f0629db.png" Type="http://schemas.openxmlformats.org/officeDocument/2006/relationships/image"/><Relationship Id="rId108" Target="media/e833137300aaffa6d9dda46f3d42196532ff91c4.png" Type="http://schemas.openxmlformats.org/officeDocument/2006/relationships/image"/><Relationship Id="rId109" Target="media/9d4436a61ecba5479af6ffd9c68fd3dc1a1474e7.png" Type="http://schemas.openxmlformats.org/officeDocument/2006/relationships/image"/><Relationship Id="rId110" Target="media/1172dbcd29ad58f46e460985c863295284a51965.png" Type="http://schemas.openxmlformats.org/officeDocument/2006/relationships/image"/><Relationship Id="rId111" Target="media/c30f56d7fe054e0044996dda0224aacddfa10d67.png" Type="http://schemas.openxmlformats.org/officeDocument/2006/relationships/image"/><Relationship Id="rId112" Target="media/0372a0a92c66d7b18e4c48f029e07de8c85dc10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7</dc:title>
  <dc:subject>Inventory I: Goods, Costs and Cost Flows</dc:subject>
  <cp:category>Student Book</cp:category>
</cp:coreProperties>
</file>