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Purpose and structure of the balance sheet · The Balance Sheet · 39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balance sheet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liquidity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solvency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flexibility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Noncurrent 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Liquidity is the ability to pay short-term obligations as they fall due.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balance sheet is at one date, not for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Current means one year or the operating cycle, whichever is longer.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Principal due within one year is the current portion of long-term debt.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IFRS looks only at the right to defer that existed at the reporting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Reasonably possible losses are disclosed, not accrued.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flood happened after year-end, so it is a nonrecognized event.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Most assets, including land, are at historical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 buyer would value the future cash flows.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A period heading describes a flow statement.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Current and noncurrent items · The Balance Sheet · 21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cycle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disclose it; no accrual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liabilities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assets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ratio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1,044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disclose it in a note only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section 2.2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section 2.2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section 2.2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section 2.2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The balance sheet shows resources and obligations for judging liquidity and solvency.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Financial flexibility is the ability to respond to unexpected needs and opportunities.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Classification shows the short-term position clearly.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Cash surrender value is excluded from current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Current assets and current liabilities fall by the same amount; with a ratio above 1, the ratio rises.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Adding the same amount to both terms moves a ratio below 1 toward 1.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Only conditions that existed at year-end are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No intangible is involved.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Classification does not change measurement.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Classifying debt · The Balance Sheet · 25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callable debt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grace 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covenant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2.3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2.3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2.3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2.3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A waiver for more than one year obtained before issuance keeps the debt noncurrent.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Debt due on demand is current regardless of expectations.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Intent plus demonstrated ability before issuance allows noncurrent classification.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IFRS needs the right to defer at the reporting date; refinancing after it does not 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A subjective acceleration clause makes debt current only if acceleration is probable.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With no best estimate in the range, U.S. GAAP accrues the minimum.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balance sheet does not show market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Equity is a book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Equity is not a cash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U.S. GAAP counts refinancing up to the issuance date.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Balance Sheet: the terms and the contrasts · The Balance Sheet · 33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condition, the customer's weak finances, existed at year-end, so it is a recognized event.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All deferred tax assets and liabilities are noncurrent.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Internally developed intangibles are not recognized as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Year-end amounts can be managed because the statement shows a single day.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Equity is assets minus liabilities as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Opening + net income − dividends declared. OCI goes to AOCI, not retained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Without a right of setoff, assets and liabilities are shown gross.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2 · Answer Keys</dc:title>
  <dc:subject>The Balance Sheet</dc:subject>
  <cp:category>Student Book</cp:category>
</cp:coreProperties>
</file>