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officedocument.wordprocessingml.numbering+xml" PartName="/word/numbering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package.core-properties+xml" PartName="/docProps/cor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  <Override ContentType="application/vnd.openxmlformats-officedocument.wordprocessingml.header+xml" PartName="/word/header4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3.1 · Answer Key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Unusual items and discontinued operations · The Income Statement and Comprehensive Income · 25 items · keep this sheet separate from the handout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5"/>
        <w:gridCol w:w="28"/>
        <w:gridCol w:w="5"/>
        <w:gridCol w:w="28"/>
        <w:gridCol w:w="5"/>
        <w:gridCol w:w="29"/>
      </w:tblGrid>
      <w:tr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strategic shift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(A)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G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income statement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(C)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Net income (no OCI option)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(A)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Same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OCI; amortized into net income later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H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OCI; never reclassified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(C)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Same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(C)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B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Not allowed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/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discontinued operation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/>
            </w:r>
          </w:p>
        </w:tc>
      </w:tr>
    </w:tbl>
    <w:p/>
    <w:p>
      <w:pPr>
        <w:spacing w:before="110" w:after="50"/>
        <w:pBdr>
          <w:top w:val="single" w:sz="8" w:space="5" w:color="1F7A6A"/>
        </w:pBdr>
      </w:pPr>
      <w:r>
        <w:rPr>
          <w:b/>
          <w:bCs/>
          <w:color w:val="1F7A6A"/>
          <w:sz w:val="17"/>
          <w:szCs w:val="17"/>
        </w:rPr>
        <w:t xml:space="preserve">Why, where it is worth saying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9   </w:t>
      </w:r>
      <w:r>
        <w:rPr>
          <w:sz w:val="15"/>
          <w:szCs w:val="15"/>
        </w:rPr>
        <w:t xml:space="preserve">section 3.3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10   </w:t>
      </w:r>
      <w:r>
        <w:rPr>
          <w:sz w:val="15"/>
          <w:szCs w:val="15"/>
        </w:rPr>
        <w:t xml:space="preserve">section 3.3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11   </w:t>
      </w:r>
      <w:r>
        <w:rPr>
          <w:sz w:val="15"/>
          <w:szCs w:val="15"/>
        </w:rPr>
        <w:t xml:space="preserve">section 3.3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18   </w:t>
      </w:r>
      <w:r>
        <w:rPr>
          <w:sz w:val="15"/>
          <w:szCs w:val="15"/>
        </w:rPr>
        <w:t xml:space="preserve">The income statement covers a period; the balance sheet is at one date.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19   </w:t>
      </w:r>
      <w:r>
        <w:rPr>
          <w:sz w:val="15"/>
          <w:szCs w:val="15"/>
        </w:rPr>
        <w:t xml:space="preserve">Only the grouping changes; the same items are included.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20   </w:t>
      </w:r>
      <w:r>
        <w:rPr>
          <w:sz w:val="15"/>
          <w:szCs w:val="15"/>
        </w:rPr>
        <w:t xml:space="preserve">Selling equipment is peripheral, so the net difference is a gain.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21   </w:t>
      </w:r>
      <w:r>
        <w:rPr>
          <w:sz w:val="15"/>
          <w:szCs w:val="15"/>
        </w:rPr>
        <w:t xml:space="preserve">Extraordinary items were removed in 2015; unusual or infrequent items stay in continuing operations.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22   </w:t>
      </w:r>
      <w:r>
        <w:rPr>
          <w:sz w:val="15"/>
          <w:szCs w:val="15"/>
        </w:rPr>
        <w:t xml:space="preserve">Leaving a major line of business is a strategic shift with a major effect.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23   </w:t>
      </w:r>
      <w:r>
        <w:rPr>
          <w:sz w:val="15"/>
          <w:szCs w:val="15"/>
        </w:rPr>
        <w:t xml:space="preserve">Net income of $2,969,100 minus the OCI loss of $1,125, net of tax.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24   </w:t>
      </w:r>
      <w:r>
        <w:rPr>
          <w:sz w:val="15"/>
          <w:szCs w:val="15"/>
        </w:rPr>
        <w:t xml:space="preserve">AFS debt securities are measured at fair value with changes in OCI.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25   </w:t>
      </w:r>
      <w:r>
        <w:rPr>
          <w:sz w:val="15"/>
          <w:szCs w:val="15"/>
        </w:rPr>
        <w:t xml:space="preserve">Estimates (useful lives) and methods (FIFO or LIFO) reduce comparability.</w:t>
      </w:r>
    </w:p>
    <w:p/>
    <w:p>
      <w:pPr>
        <w:sectPr>
          <w:headerReference w:type="default" r:id="rIdHdr1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3.2 · Answer Key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Income Statement and Comprehensive Income: the figures and the schedules · The Income Statement and Comprehensive Income · 26 items · keep this sheet separate from the handout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5"/>
        <w:gridCol w:w="28"/>
        <w:gridCol w:w="5"/>
        <w:gridCol w:w="28"/>
        <w:gridCol w:w="5"/>
        <w:gridCol w:w="29"/>
      </w:tblGrid>
      <w:tr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H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Other income and expense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G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Discontinued operations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(D)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I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B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(C)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(D)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(A)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Operating expenses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Other income and expense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/>
            </w:r>
          </w:p>
        </w:tc>
      </w:tr>
    </w:tbl>
    <w:p/>
    <w:p>
      <w:pPr>
        <w:spacing w:before="110" w:after="50"/>
        <w:pBdr>
          <w:top w:val="single" w:sz="8" w:space="5" w:color="1F7A6A"/>
        </w:pBdr>
      </w:pPr>
      <w:r>
        <w:rPr>
          <w:b/>
          <w:bCs/>
          <w:color w:val="1F7A6A"/>
          <w:sz w:val="17"/>
          <w:szCs w:val="17"/>
        </w:rPr>
        <w:t xml:space="preserve">Why, where it is worth saying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   </w:t>
      </w:r>
      <w:r>
        <w:rPr>
          <w:sz w:val="15"/>
          <w:szCs w:val="15"/>
        </w:rPr>
        <w:t xml:space="preserve">Both layouts give the same net income.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   </w:t>
      </w:r>
      <w:r>
        <w:rPr>
          <w:sz w:val="15"/>
          <w:szCs w:val="15"/>
        </w:rPr>
        <w:t xml:space="preserve">Equity securities changes go to net income.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3   </w:t>
      </w:r>
      <w:r>
        <w:rPr>
          <w:sz w:val="15"/>
          <w:szCs w:val="15"/>
        </w:rPr>
        <w:t xml:space="preserve">Only discontinued operations are shown net of tax there.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21   </w:t>
      </w:r>
      <w:r>
        <w:rPr>
          <w:sz w:val="15"/>
          <w:szCs w:val="15"/>
        </w:rPr>
        <w:t xml:space="preserve">Past performance on the income statement is the starting point for predicting future earnings.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22   </w:t>
      </w:r>
      <w:r>
        <w:rPr>
          <w:sz w:val="15"/>
          <w:szCs w:val="15"/>
        </w:rPr>
        <w:t xml:space="preserve">Operating income is earned before interest, so it can be compared with interest expense.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23   </w:t>
      </w:r>
      <w:r>
        <w:rPr>
          <w:sz w:val="15"/>
          <w:szCs w:val="15"/>
        </w:rPr>
        <w:t xml:space="preserve">The income statement covers a period.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24   </w:t>
      </w:r>
      <w:r>
        <w:rPr>
          <w:sz w:val="15"/>
          <w:szCs w:val="15"/>
        </w:rPr>
        <w:t xml:space="preserve">Subtotals separate operating results from other items.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25   </w:t>
      </w:r>
      <w:r>
        <w:rPr>
          <w:sz w:val="15"/>
          <w:szCs w:val="15"/>
        </w:rPr>
        <w:t xml:space="preserve">R&amp;D is part of the costs of running the main business.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26   </w:t>
      </w:r>
      <w:r>
        <w:rPr>
          <w:sz w:val="15"/>
          <w:szCs w:val="15"/>
        </w:rPr>
        <w:t xml:space="preserve">Gross profit of $360,000 minus operating expenses of $210,000.</w:t>
      </w:r>
    </w:p>
    <w:p/>
    <w:p>
      <w:pPr>
        <w:sectPr>
          <w:headerReference w:type="default" r:id="rIdHdr2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3.3 · Answer Key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Income Statement and Comprehensive Income: the figures and the schedules · part 2 · The Income Statement and Comprehensive Income · 25 items · keep this sheet separate from the handout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5"/>
        <w:gridCol w:w="28"/>
        <w:gridCol w:w="5"/>
        <w:gridCol w:w="28"/>
        <w:gridCol w:w="5"/>
        <w:gridCol w:w="29"/>
      </w:tblGrid>
      <w:tr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B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165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I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(A)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(C)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H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(D)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(D)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G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240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/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75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/>
            </w:r>
          </w:p>
        </w:tc>
      </w:tr>
    </w:tbl>
    <w:p/>
    <w:p>
      <w:pPr>
        <w:spacing w:before="110" w:after="50"/>
        <w:pBdr>
          <w:top w:val="single" w:sz="8" w:space="5" w:color="1F7A6A"/>
        </w:pBdr>
      </w:pPr>
      <w:r>
        <w:rPr>
          <w:b/>
          <w:bCs/>
          <w:color w:val="1F7A6A"/>
          <w:sz w:val="17"/>
          <w:szCs w:val="17"/>
        </w:rPr>
        <w:t xml:space="preserve">Why, where it is worth saying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   </w:t>
      </w:r>
      <w:r>
        <w:rPr>
          <w:sz w:val="15"/>
          <w:szCs w:val="15"/>
        </w:rPr>
        <w:t xml:space="preserve">This is one of the conditions.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3   </w:t>
      </w:r>
      <w:r>
        <w:rPr>
          <w:sz w:val="15"/>
          <w:szCs w:val="15"/>
        </w:rPr>
        <w:t xml:space="preserve">Net income is not a fair value measure.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5   </w:t>
      </w:r>
      <w:r>
        <w:rPr>
          <w:sz w:val="15"/>
          <w:szCs w:val="15"/>
        </w:rPr>
        <w:t xml:space="preserve">No unrealized value change is involved.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7   </w:t>
      </w:r>
      <w:r>
        <w:rPr>
          <w:sz w:val="15"/>
          <w:szCs w:val="15"/>
        </w:rPr>
        <w:t xml:space="preserve">It shows changes in equity, using net income from the income statement.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20   </w:t>
      </w:r>
      <w:r>
        <w:rPr>
          <w:sz w:val="15"/>
          <w:szCs w:val="15"/>
        </w:rPr>
        <w:t xml:space="preserve">U.S. GAAP does not mandate function or nature.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21   </w:t>
      </w:r>
      <w:r>
        <w:rPr>
          <w:sz w:val="15"/>
          <w:szCs w:val="15"/>
        </w:rPr>
        <w:t xml:space="preserve">EPS is required for income from continuing operations and net income.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22   </w:t>
      </w:r>
      <w:r>
        <w:rPr>
          <w:sz w:val="15"/>
          <w:szCs w:val="15"/>
        </w:rPr>
        <w:t xml:space="preserve">Unusual or infrequent items stay in continuing operations, before tax.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23   </w:t>
      </w:r>
      <w:r>
        <w:rPr>
          <w:sz w:val="15"/>
          <w:szCs w:val="15"/>
        </w:rPr>
        <w:t xml:space="preserve">Proceeds of $21,000 minus the carrying amount of $18,000; gains are shown net.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24   </w:t>
      </w:r>
      <w:r>
        <w:rPr>
          <w:sz w:val="15"/>
          <w:szCs w:val="15"/>
        </w:rPr>
        <w:t xml:space="preserve">Profitable and loss-making components can both be discontinued operations.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25   </w:t>
      </w:r>
      <w:r>
        <w:rPr>
          <w:sz w:val="15"/>
          <w:szCs w:val="15"/>
        </w:rPr>
        <w:t xml:space="preserve">Net income plus this year's OCI.</w:t>
      </w:r>
    </w:p>
    <w:p/>
    <w:p>
      <w:pPr>
        <w:sectPr>
          <w:headerReference w:type="default" r:id="rIdHdr3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3.4 · Answer Key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Income Statement and Comprehensive Income: exam practice · The Income Statement and Comprehensive Income · 32 items · keep this sheet separate from the handout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5"/>
        <w:gridCol w:w="28"/>
        <w:gridCol w:w="5"/>
        <w:gridCol w:w="28"/>
        <w:gridCol w:w="5"/>
        <w:gridCol w:w="29"/>
      </w:tblGrid>
      <w:tr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I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B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B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I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H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(D)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(C)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(A)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G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H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(D)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G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(C)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/>
            </w:r>
          </w:p>
        </w:tc>
      </w:tr>
    </w:tbl>
    <w:p/>
    <w:p>
      <w:pPr>
        <w:spacing w:before="110" w:after="50"/>
        <w:pBdr>
          <w:top w:val="single" w:sz="8" w:space="5" w:color="1F7A6A"/>
        </w:pBdr>
      </w:pPr>
      <w:r>
        <w:rPr>
          <w:b/>
          <w:bCs/>
          <w:color w:val="1F7A6A"/>
          <w:sz w:val="17"/>
          <w:szCs w:val="17"/>
        </w:rPr>
        <w:t xml:space="preserve">Why, where it is worth saying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   </w:t>
      </w:r>
      <w:r>
        <w:rPr>
          <w:sz w:val="15"/>
          <w:szCs w:val="15"/>
        </w:rPr>
        <w:t xml:space="preserve">This is the U.S. GAAP answer; IFRS allows revaluation.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   </w:t>
      </w:r>
      <w:r>
        <w:rPr>
          <w:sz w:val="15"/>
          <w:szCs w:val="15"/>
        </w:rPr>
        <w:t xml:space="preserve">Selling one asset gives a gain or loss, not a discontinued operation.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3   </w:t>
      </w:r>
      <w:r>
        <w:rPr>
          <w:sz w:val="15"/>
          <w:szCs w:val="15"/>
        </w:rPr>
        <w:t xml:space="preserve">Gains pass through net income first.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4   </w:t>
      </w:r>
      <w:r>
        <w:rPr>
          <w:sz w:val="15"/>
          <w:szCs w:val="15"/>
        </w:rPr>
        <w:t xml:space="preserve">U.S. GAAP does not require one layout; SEC captions lead to multi-step.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5   </w:t>
      </w:r>
      <w:r>
        <w:rPr>
          <w:sz w:val="15"/>
          <w:szCs w:val="15"/>
        </w:rPr>
        <w:t xml:space="preserve">The gain moves the other way: from OCI to net income.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7   </w:t>
      </w:r>
      <w:r>
        <w:rPr>
          <w:sz w:val="15"/>
          <w:szCs w:val="15"/>
        </w:rPr>
        <w:t xml:space="preserve">OCI is not part of operating cash flow.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17   </w:t>
      </w:r>
      <w:r>
        <w:rPr>
          <w:sz w:val="15"/>
          <w:szCs w:val="15"/>
        </w:rPr>
        <w:t xml:space="preserve">ASU 2011-05 requires one or two statements.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18   </w:t>
      </w:r>
      <w:r>
        <w:rPr>
          <w:sz w:val="15"/>
          <w:szCs w:val="15"/>
        </w:rPr>
        <w:t xml:space="preserve">The gain moves from AOCI into net income; without the adjustment, comprehensive income would include it twice.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19   </w:t>
      </w:r>
      <w:r>
        <w:rPr>
          <w:sz w:val="15"/>
          <w:szCs w:val="15"/>
        </w:rPr>
        <w:t xml:space="preserve">Unrecognized increases in value are one limitation of the income statement.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20   </w:t>
      </w:r>
      <w:r>
        <w:rPr>
          <w:sz w:val="15"/>
          <w:szCs w:val="15"/>
        </w:rPr>
        <w:t xml:space="preserve">Earnings management through timing is a known limitation.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21   </w:t>
      </w:r>
      <w:r>
        <w:rPr>
          <w:sz w:val="15"/>
          <w:szCs w:val="15"/>
        </w:rPr>
        <w:t xml:space="preserve">The indirect method reconciles net income to operating cash flow.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22   </w:t>
      </w:r>
      <w:r>
        <w:rPr>
          <w:sz w:val="15"/>
          <w:szCs w:val="15"/>
        </w:rPr>
        <w:t xml:space="preserve">IAS 16 revaluation increases go to OCI and are not recycled.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32   </w:t>
      </w:r>
      <w:r>
        <w:rPr>
          <w:sz w:val="15"/>
          <w:szCs w:val="15"/>
        </w:rPr>
        <w:t xml:space="preserve">Both losses, each net of its tax benefit: $315,000 + $135,000.</w:t>
      </w:r>
    </w:p>
    <w:p/>
    <w:p>
      <w:pPr>
        <w:sectPr>
          <w:headerReference w:type="default" r:id="rIdHdr4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sectPr>
      <w:headerReference w:type="default" r:id="rIdHdr4"/>
      <w:pgSz w:w="11906" w:h="16838" w:orient="portrait"/>
      <w:pgMar w:top="1180" w:right="1000" w:bottom="900" w:left="1000" w:header="708" w:footer="708" w:gutter="0"/>
      <w:docGrid w:linePitch="360"/>
      <w:pgNumTyp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3.1 · Answer Key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Answer Key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/>
          </w:r>
        </w:p>
      </w:tc>
    </w:tr>
  </w:tbl>
  <w:p>
    <w:pPr>
      <w:spacing w:after="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3.2 · Answer Key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Answer Key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/>
          </w:r>
        </w:p>
      </w:tc>
    </w:tr>
  </w:tbl>
  <w:p>
    <w:pPr>
      <w:spacing w:after="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3.3 · Answer Key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Answer Key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/>
          </w:r>
        </w:p>
      </w:tc>
    </w:tr>
  </w:tbl>
  <w:p>
    <w:pPr>
      <w:spacing w:after="0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3.4 · Answer Key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Answer Key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/>
          </w:r>
        </w:p>
      </w:tc>
    </w:tr>
  </w:tbl>
  <w:p>
    <w:pPr>
      <w:spacing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defaultTabStop w:val="720"/>
  <w:compat>
    <w:compatSetting w:name="compatibilityMode" w:uri="http://schemas.microsoft.com/office/word" w:val="15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 standalone="yes"?><Relationships xmlns="http://schemas.openxmlformats.org/package/2006/relationships"><Relationship Id="rIdstyles" Target="styles.xml" Type="http://schemas.openxmlformats.org/officeDocument/2006/relationships/styles"/><Relationship Id="rIdnumbering" Target="numbering.xml" Type="http://schemas.openxmlformats.org/officeDocument/2006/relationships/numbering"/><Relationship Id="rIdfontTable" Target="fontTable.xml" Type="http://schemas.openxmlformats.org/officeDocument/2006/relationships/fontTable"/><Relationship Id="rIdsettings" Target="settings.xml" Type="http://schemas.openxmlformats.org/officeDocument/2006/relationships/settings"/><Relationship Id="rIdHdr1" Target="header1.xml" Type="http://schemas.openxmlformats.org/officeDocument/2006/relationships/header"/><Relationship Id="rIdHdr2" Target="header2.xml" Type="http://schemas.openxmlformats.org/officeDocument/2006/relationships/header"/><Relationship Id="rIdHdr3" Target="header3.xml" Type="http://schemas.openxmlformats.org/officeDocument/2006/relationships/header"/><Relationship Id="rIdHdr4" Target="header4.xml" Type="http://schemas.openxmlformats.org/officeDocument/2006/relationships/header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CMA Part 1 · Section A · Chapter 3 · Answer Keys</dc:title>
  <dc:subject>The Income Statement and Comprehensive Income</dc:subject>
  <cp:category>Student Book</cp:category>
</cp:coreProperties>
</file>