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4.1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Issuing and buying back shares · Equity and the Statement of Changes in Equity · 32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Decreases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entry; par per share falls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Face value of the note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Decreases (a note payable arises)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Amount beyond retained earnings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 for that part; APIC decreases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Decreases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Fair value of the shares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treasury stock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Par value of the shares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cost method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Decreases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outstanding shares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No change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9   </w:t>
      </w:r>
      <w:r>
        <w:rPr>
          <w:sz w:val="15"/>
          <w:szCs w:val="15"/>
        </w:rPr>
        <w:t xml:space="preserve">section 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section 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section 4.2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It reconciles the opening and closing balance of each equity account.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Cash minus par value: $1,500,000 − $100,000.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28   </w:t>
      </w:r>
      <w:r>
        <w:rPr>
          <w:sz w:val="15"/>
          <w:szCs w:val="15"/>
        </w:rPr>
        <w:t xml:space="preserve">The shortfall of $60,000 first uses APIC–treasury stock of $40,000.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A small stock dividend is measured at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30   </w:t>
      </w:r>
      <w:r>
        <w:rPr>
          <w:sz w:val="15"/>
          <w:szCs w:val="15"/>
        </w:rPr>
        <w:t xml:space="preserve">Error corrections are prior-period adjustments to opening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31   </w:t>
      </w:r>
      <w:r>
        <w:rPr>
          <w:sz w:val="15"/>
          <w:szCs w:val="15"/>
        </w:rPr>
        <w:t xml:space="preserve">Foreign-currency translation adjustments are OCI items.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32   </w:t>
      </w:r>
      <w:r>
        <w:rPr>
          <w:sz w:val="15"/>
          <w:szCs w:val="15"/>
        </w:rPr>
        <w:t xml:space="preserve">Book value is not a valuation.</w:t>
      </w:r>
    </w:p>
    <w:p/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4.2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Dividends, stock dividends and stock splits · Equity and the Statement of Changes in Equity · 42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declaration date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liquidating dividend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outstanding shares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stock dividend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Earned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Deduction from equity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Current liability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Contributed capital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385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121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939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3,544</w:t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Noncash exchanges are recorded at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There is no size threshold.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An appropriation stays within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No entry is made only for a stock split.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16   </w:t>
      </w:r>
      <w:r>
        <w:rPr>
          <w:sz w:val="15"/>
          <w:szCs w:val="15"/>
        </w:rPr>
        <w:t xml:space="preserve">section 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17   </w:t>
      </w:r>
      <w:r>
        <w:rPr>
          <w:sz w:val="15"/>
          <w:szCs w:val="15"/>
        </w:rPr>
        <w:t xml:space="preserve">section 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18   </w:t>
      </w:r>
      <w:r>
        <w:rPr>
          <w:sz w:val="15"/>
          <w:szCs w:val="15"/>
        </w:rPr>
        <w:t xml:space="preserve">section 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19   </w:t>
      </w:r>
      <w:r>
        <w:rPr>
          <w:sz w:val="15"/>
          <w:szCs w:val="15"/>
        </w:rPr>
        <w:t xml:space="preserve">section 4.3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324,000 new shares × fair value of $15.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Retained earnings are not a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27   </w:t>
      </w:r>
      <w:r>
        <w:rPr>
          <w:sz w:val="15"/>
          <w:szCs w:val="15"/>
        </w:rPr>
        <w:t xml:space="preserve">The statements use the accrual basis.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29   </w:t>
      </w:r>
      <w:r>
        <w:rPr>
          <w:sz w:val="15"/>
          <w:szCs w:val="15"/>
        </w:rPr>
        <w:t xml:space="preserve">OCI is part of comprehensive income.</w:t>
      </w:r>
    </w:p>
    <w:p/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4.3 · Answer Key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Equity and the Statement of Changes in Equity: exam practice · Equity and the Statement of Changes in Equity · 47 items · keep this sheet separate from the handout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5"/>
        <w:gridCol w:w="28"/>
        <w:gridCol w:w="5"/>
        <w:gridCol w:w="28"/>
        <w:gridCol w:w="5"/>
        <w:gridCol w:w="29"/>
      </w:tblGrid>
      <w:tr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shd w:fill="2E8B62" w:val="clear"/>
            <w:tcMar>
              <w:top w:type="dxa" w:w="10"/>
              <w:left w:type="dxa" w:w="70"/>
              <w:bottom w:type="dxa" w:w="10"/>
              <w:right w:type="dxa" w:w="70"/>
            </w:tcMar>
          </w:tcPr>
          <w:p>
            <w:r>
              <w:rPr>
                <w:b/>
                <w:bCs/>
                <w:color w:val="FFFFFF"/>
                <w:sz w:val="14"/>
                <w:szCs w:val="14"/>
              </w:rPr>
              <w:t xml:space="preserve">Answer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D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H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B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(D)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False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28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13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True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29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(A)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30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F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(C)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G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31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E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47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(B)</w:t>
            </w:r>
          </w:p>
        </w:tc>
      </w:tr>
      <w:tr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16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C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>32</w:t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>A</w:t>
            </w:r>
          </w:p>
        </w:tc>
        <w:tc>
          <w:tcPr>
            <w:shd w:fill="F5F7FC" w:val="clear"/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b/>
                <w:bCs/>
                <w:sz w:val="14"/>
                <w:szCs w:val="14"/>
              </w:rPr>
              <w:t xml:space="preserve"/>
            </w:r>
          </w:p>
        </w:tc>
        <w:tc>
          <w:tcPr>
            <w:tcMar>
              <w:top w:type="dxa" w:w="6"/>
              <w:left w:type="dxa" w:w="66"/>
              <w:bottom w:type="dxa" w:w="6"/>
              <w:right w:type="dxa" w:w="66"/>
            </w:tcMar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/>
    <w:p>
      <w:pPr>
        <w:spacing w:before="110" w:after="50"/>
        <w:pBdr>
          <w:top w:val="single" w:sz="8" w:space="5" w:color="1F7A6A"/>
        </w:pBdr>
      </w:pPr>
      <w:r>
        <w:rPr>
          <w:b/>
          <w:bCs/>
          <w:color w:val="1F7A6A"/>
          <w:sz w:val="17"/>
          <w:szCs w:val="17"/>
        </w:rPr>
        <w:t xml:space="preserve">Why, where it is worth saying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   </w:t>
      </w:r>
      <w:r>
        <w:rPr>
          <w:sz w:val="15"/>
          <w:szCs w:val="15"/>
        </w:rPr>
        <w:t xml:space="preserve">Dividends are distributions to owners.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   </w:t>
      </w:r>
      <w:r>
        <w:rPr>
          <w:sz w:val="15"/>
          <w:szCs w:val="15"/>
        </w:rPr>
        <w:t xml:space="preserve">The retained earnings column shows net income and dividends side by side.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3   </w:t>
      </w:r>
      <w:r>
        <w:rPr>
          <w:sz w:val="15"/>
          <w:szCs w:val="15"/>
        </w:rPr>
        <w:t xml:space="preserve">S-X 3-04 requires a reconciliation for each period with an income statement.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4   </w:t>
      </w:r>
      <w:r>
        <w:rPr>
          <w:sz w:val="15"/>
          <w:szCs w:val="15"/>
        </w:rPr>
        <w:t xml:space="preserve">It explains changes over a period.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5   </w:t>
      </w:r>
      <w:r>
        <w:rPr>
          <w:sz w:val="15"/>
          <w:szCs w:val="15"/>
        </w:rPr>
        <w:t xml:space="preserve">Treasury stock is contra-equity.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6   </w:t>
      </w:r>
      <w:r>
        <w:rPr>
          <w:sz w:val="15"/>
          <w:szCs w:val="15"/>
        </w:rPr>
        <w:t xml:space="preserve">Outstanding shares = issued shares − treasury shares.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8   </w:t>
      </w:r>
      <w:r>
        <w:rPr>
          <w:sz w:val="15"/>
          <w:szCs w:val="15"/>
        </w:rPr>
        <w:t xml:space="preserve">Equity is not remeasured to fair value.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10   </w:t>
      </w:r>
      <w:r>
        <w:rPr>
          <w:sz w:val="15"/>
          <w:szCs w:val="15"/>
        </w:rPr>
        <w:t xml:space="preserve">They reduce contributed capital, not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11   </w:t>
      </w:r>
      <w:r>
        <w:rPr>
          <w:sz w:val="15"/>
          <w:szCs w:val="15"/>
        </w:rPr>
        <w:t xml:space="preserve">Treasury stock is shown at cost.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22   </w:t>
      </w:r>
      <w:r>
        <w:rPr>
          <w:sz w:val="15"/>
          <w:szCs w:val="15"/>
        </w:rPr>
        <w:t xml:space="preserve">No assets will be paid, so it is equity.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23   </w:t>
      </w:r>
      <w:r>
        <w:rPr>
          <w:sz w:val="15"/>
          <w:szCs w:val="15"/>
        </w:rPr>
        <w:t xml:space="preserve">APIC comes from owners' payments.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24   </w:t>
      </w:r>
      <w:r>
        <w:rPr>
          <w:sz w:val="15"/>
          <w:szCs w:val="15"/>
        </w:rPr>
        <w:t xml:space="preserve">OCI goes to AOCI, not retained earnings.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25   </w:t>
      </w:r>
      <w:r>
        <w:rPr>
          <w:sz w:val="15"/>
          <w:szCs w:val="15"/>
        </w:rPr>
        <w:t xml:space="preserve">Opening + net income − cash dividends − stock dividend.</w:t>
      </w:r>
    </w:p>
    <w:p>
      <w:pPr>
        <w:ind w:left="300" w:hanging="300"/>
        <w:spacing w:after="25"/>
      </w:pPr>
      <w:r>
        <w:rPr>
          <w:b/>
          <w:bCs/>
          <w:color w:val="1F7A6A"/>
          <w:sz w:val="15"/>
          <w:szCs w:val="15"/>
        </w:rPr>
        <w:t xml:space="preserve">26   </w:t>
      </w:r>
      <w:r>
        <w:rPr>
          <w:sz w:val="15"/>
          <w:szCs w:val="15"/>
        </w:rPr>
        <w:t xml:space="preserve">Direct equity issuance costs reduce the proceeds, so they reduce APIC.</w:t>
      </w:r>
    </w:p>
    <w:p/>
    <w:p>
      <w:pPr>
        <w:sectPr>
          <w:headerReference w:type="default" r:id="rIdHdr3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3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4.1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4.2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4.3 · Answer Key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Answer Key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/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Relationship Id="rIdHdr3" Target="header3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Section A · Chapter 4 · Answer Keys</dc:title>
  <dc:subject>Equity and the Statement of Changes in Equity</dc:subject>
  <cp:category>Student Book</cp:category>
</cp:coreProperties>
</file>