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Statement of Cash Flows: the figures and the schedules · The Statement of Cash Flows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20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Investing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630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983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Operating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Financing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I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_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Accrual profit and cash can differ greatly.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The test uses original maturity to the holder, not remaining maturity.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U.S. GAAP fixes interest paid in operating activities.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Noncash investing and financing deals are disclosed, not shown in the body.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Revenue was recorded but not yet collected.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The gain is removed from operating; the full proceeds are investing.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Borrowing is a financing inflow.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Receivables rose, which reduced operating cash.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A loss is added back, not subtracted.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5.2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Statement of Cash Flows: exam practice · The Statement of Cash Flows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Part of the sales has not yet been collected.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These are required supplemental disclosures under the indirect method.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Timing of payments shifts operating cash between years.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Cash flows are not fair values.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Interest paid is included in operating.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It is a cash-basis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Operating cash flow is the ongoing source of repayment.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20   </w:t>
      </w:r>
      <w:r>
        <w:rPr>
          <w:sz w:val="15"/>
          <w:szCs w:val="15"/>
        </w:rPr>
        <w:t xml:space="preserve">Noncash expenses of $4,924,000 explain most of the difference.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21   </w:t>
      </w:r>
      <w:r>
        <w:rPr>
          <w:sz w:val="15"/>
          <w:szCs w:val="15"/>
        </w:rPr>
        <w:t xml:space="preserve">Investment outflows are funded by operations and new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The cash flow statement shows the sources and uses of cash during the year.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Distributions to owners are financing.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Dividends received up to cumulative equity earnings are operating.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balance sheet shows total assets.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The indirect method uses these changes.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5.2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5 · Answer Keys</dc:title>
  <dc:subject>The Statement of Cash Flows</dc:subject>
  <cp:category>Student Book</cp:category>
</cp:coreProperties>
</file>