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allowance for credit losses · Receivables: Credit Losses and Transfers · 42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amortized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aging schedule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accounts receivable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write-off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6.2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6.2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6.2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6.2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Orontes has performed, but its right to payment still depends on the second shipment, not only on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Receivables are recorded at the transaction price; expected discounts and returns are variable consideration. Short-term receivables are not discounted.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allowance must move from a 3,000 debit to a 20,000 credit, so the expense is 23,000.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Both accounts receivable and the allowance decrease by 4,000, so the net amount is unchanged. The expense was recorded earlier.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repurchase duty means Orontes keeps effective control, so the sale conditions fail.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Neither method changes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Credit losses are recorded in a separate allowance account, not netted in the receivable.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direct method is the method used for U.S. tax.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This is the write-off entry, in the opposite direction.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Recourse alone does not make the transfer a borrowing.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Transferring receivables: sale or secured borrowing? · Receivables: Credit Losses and Transfers · 38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pledging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legal isolation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factor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effective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secured borrowing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recourse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recourse liability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factoring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section 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section 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section 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section 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CECL records lifetime expected losses from day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 company first reinstates the receivable; the second entry records the cash collection.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Losses are recorded only when balances are written off, so receivables are overstated and matching fails.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It is an income-statement approach; CECL focuses on the expected losses on the receivables at the balance sheet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Long-term notes with no or low interest are recorded at present value using an imputed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It is effective for annual periods beginning after December 15, 2025; under the one-year rule it is not yet tested.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That is the direct write-off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That is the older gross method; expected discounts are variable consideration today.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This ignores the time value of money over two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aging method gives the required ending balance.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Receivables: exam practice · Receivables: Credit Losses and Transfers · 42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All three sale conditions are met; recourse adds a liability to the sale.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Carrying amount − (cash + due from factor − recourse liability).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In a borrowing, the receivables stay (pledged) and the cash received is a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Pledging is not a transfer; only a note disclosure is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simplified approach requires lifetime expected losses for these receivables.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IFRS 9 focuses on risks and rewards; substantial recourse often keeps the risk with the seller.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It reduces receivables to the amount expected to be collected.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The expected loss is matched with the revenue of the same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That is the direct write-off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It still uses an allowance; the direct method does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sum of each group's amount × its expected loss rate.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6 · Answer Keys</dc:title>
  <dc:subject>Receivables: Credit Losses and Transfers</dc:subject>
  <cp:category>Student Book</cp:category>
</cp:coreProperties>
</file>