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6.1 · The allowance for credit losses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CMA Part 1 · Section A · Chapter 6 · from section Receivables: Credit Losses and Transfers of the book · 3 pages, answer key on a separate sheet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1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accounts receivable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تخصيم الذمم المدينة (بيع الديون)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allowance for credit losses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حق الرجوع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current expected credit losses (CECL)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الخسائر الائتمانية المتوقعة الحالية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aging schedule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مصروف الخسائر الائتمانية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credit loss expense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الذمم المدينة (المدينون)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write-off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جدول أعمار الذمم المدينة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factoring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مخصص الخسائر الائتمانية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recourse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شطب (إعدام) الدين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2 · fill in the spaces   </w:t>
      </w:r>
      <w:r>
        <w:rPr>
          <w:b/>
          <w:bCs/>
          <w:sz w:val="19"/>
          <w:szCs w:val="19"/>
        </w:rPr>
        <w:t xml:space="preserve">Write the missing term in each numbered space. Every sentence is from section 6.2 of the book.</w:t>
      </w:r>
    </w:p>
    <w:tbl>
      <w:tblPr>
        <w:tblW w:type="pct" w:w="100%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100"/>
      </w:tblGrid>
      <w:tr>
        <w:tc>
          <w:tcPr>
            <w:shd w:fill="FBFAF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23265A"/>
                <w:sz w:val="15"/>
                <w:szCs w:val="15"/>
              </w:rPr>
              <w:t xml:space="preserve">WORD BANK</w:t>
            </w:r>
          </w:p>
          <w:p>
            <w:pPr>
              <w:spacing w:after="50" w:line="280" w:lineRule="auto"/>
            </w:pPr>
            <w:r>
              <w:rPr>
                <w:b/>
                <w:bCs/>
                <w:sz w:val="20"/>
                <w:szCs w:val="20"/>
              </w:rPr>
              <w:t xml:space="preserve">accounts receivable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aging schedule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amortized cost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effective control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notes receivable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recourse liability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secured borrowing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write-off</w:t>
            </w:r>
          </w:p>
          <w:p>
            <w:r>
              <w:rPr>
                <w:color w:val="6B7280"/>
                <w:sz w:val="17"/>
                <w:szCs w:val="17"/>
              </w:rPr>
              <w:t xml:space="preserve">Not every word is used.</w:t>
            </w:r>
          </w:p>
        </w:tc>
      </w:tr>
    </w:tbl>
    <w:p/>
    <w:p>
      <w:pPr>
        <w:spacing w:before="20" w:after="70" w:line="272" w:lineRule="auto"/>
      </w:pPr>
      <w:r>
        <w:rPr>
          <w:sz w:val="20"/>
          <w:szCs w:val="20"/>
        </w:rPr>
        <w:t xml:space="preserve">Trade receivables are measured at </w:t>
      </w:r>
      <w:r>
        <w:rPr>
          <w:vertAlign w:val="superscript"/>
          <w:color w:val="353A7C"/>
          <w:b/>
          <w:sz w:val="15"/>
        </w:rPr>
        <w:t>9</w:t>
      </w:r>
      <w:r>
        <w:rPr>
          <w:u w:val="single"/>
          <w:sz w:val="20"/>
          <w:szCs w:val="20"/>
        </w:rPr>
        <w:t xml:space="preserve">                        </w:t>
      </w:r>
      <w:r>
        <w:rPr>
          <w:sz w:val="20"/>
          <w:szCs w:val="20"/>
        </w:rPr>
        <w:t xml:space="preserve">, and the allowance is a contra-asset account.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Estimating the allowance with an </w:t>
      </w:r>
      <w:r>
        <w:rPr>
          <w:vertAlign w:val="superscript"/>
          <w:color w:val="353A7C"/>
          <w:b/>
          <w:sz w:val="15"/>
        </w:rPr>
        <w:t>10</w:t>
      </w:r>
      <w:r>
        <w:rPr>
          <w:u w:val="single"/>
          <w:sz w:val="20"/>
          <w:szCs w:val="20"/>
        </w:rPr>
        <w:t xml:space="preserve">                        </w:t>
      </w:r>
      <w:r>
        <w:rPr>
          <w:sz w:val="20"/>
          <w:szCs w:val="20"/>
        </w:rPr>
        <w:t xml:space="preserve"> A common method is the aging schedule.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Write-offs and recoveries When a customer's balance is clearly uncollectible, the company records a write-off: debit the allowance and credit </w:t>
      </w:r>
      <w:r>
        <w:rPr>
          <w:vertAlign w:val="superscript"/>
          <w:color w:val="353A7C"/>
          <w:b/>
          <w:sz w:val="15"/>
        </w:rPr>
        <w:t>11</w:t>
      </w:r>
      <w:r>
        <w:rPr>
          <w:u w:val="single"/>
          <w:sz w:val="20"/>
          <w:szCs w:val="20"/>
        </w:rPr>
        <w:t xml:space="preserve">                               </w:t>
      </w:r>
      <w:r>
        <w:rPr>
          <w:sz w:val="20"/>
          <w:szCs w:val="20"/>
        </w:rPr>
        <w:t xml:space="preserve">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The </w:t>
      </w:r>
      <w:r>
        <w:rPr>
          <w:vertAlign w:val="superscript"/>
          <w:color w:val="353A7C"/>
          <w:b/>
          <w:sz w:val="15"/>
        </w:rPr>
        <w:t>12</w:t>
      </w:r>
      <w:r>
        <w:rPr>
          <w:u w:val="single"/>
          <w:sz w:val="20"/>
          <w:szCs w:val="20"/>
        </w:rPr>
        <w:t xml:space="preserve">                </w:t>
      </w:r>
      <w:r>
        <w:rPr>
          <w:sz w:val="20"/>
          <w:szCs w:val="20"/>
        </w:rPr>
        <w:t xml:space="preserve"> changes neither net income nor net receivables, because the expense was already recorded when the allowance was built.</w:t>
      </w:r>
    </w:p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1</w:t>
      </w:r>
      <w:r>
        <w:rPr>
          <w:color w:val="FFFFFF"/>
          <w:sz w:val="15"/>
          <w:szCs w:val="15"/>
        </w:rPr>
        <w:t xml:space="preserve">   ·   items 1 to 12   ·   </w:t>
      </w:r>
      <w:r>
        <w:rPr>
          <w:color w:val="FFFFFF"/>
          <w:sz w:val="15"/>
          <w:szCs w:val="15"/>
        </w:rPr>
        <w:t xml:space="preserve">fewer than 9 right: </w:t>
      </w:r>
      <w:r>
        <w:rPr>
          <w:b/>
          <w:bCs/>
          <w:color w:val="FFFFFF"/>
          <w:sz w:val="15"/>
          <w:szCs w:val="15"/>
        </w:rPr>
        <w:t xml:space="preserve">read section 6.1 again before page 2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3 · fill in the table   </w:t>
      </w:r>
      <w:r>
        <w:rPr>
          <w:b/>
          <w:bCs/>
          <w:sz w:val="19"/>
          <w:szCs w:val="19"/>
        </w:rPr>
        <w:t xml:space="preserve">Complete the table. The first row is done; some cells are a word and some a figure.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6"/>
        <w:gridCol w:w="18"/>
        <w:gridCol w:w="18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Age of receivable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Amount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Expected loss rate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Required allowance</w:t>
            </w:r>
          </w:p>
        </w:tc>
      </w:tr>
      <w:tr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Current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400,000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1%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4,000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1–30 days past due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13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4,500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31–60 days past due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10%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6,000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61–90 days past due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16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17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18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Over 90 days past due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19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20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21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Total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34,000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4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Orontes has delivered the first of two shipments under one contract. It can bill the customer only after the second shipment. What should Orontes record for the first shipment?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 contract asset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An account receivable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Nothing until it can bill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Unearned revenue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24.  </w:t>
      </w:r>
      <w:r>
        <w:rPr>
          <w:sz w:val="19"/>
          <w:szCs w:val="19"/>
        </w:rPr>
        <w:t xml:space="preserve">A trade receivable is due in 60 days. At what amount is it recorded?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Its present value using a market interest rate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The invoice amount, with discounts recorded only when taken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The transaction price, reduced for expected discounts and returns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The invoice amount less expected credit losses, recorded as one net number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25.  </w:t>
      </w:r>
      <w:r>
        <w:rPr>
          <w:sz w:val="19"/>
          <w:szCs w:val="19"/>
        </w:rPr>
        <w:t xml:space="preserve">The aging shows that the allowance for credit losses should be 20,000. Before adjustment, the allowance has a debit balance of 3,000. What is the credit loss expense?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3,000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17,000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20,000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23,000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26.  </w:t>
      </w:r>
      <w:r>
        <w:rPr>
          <w:sz w:val="19"/>
          <w:szCs w:val="19"/>
        </w:rPr>
        <w:t xml:space="preserve">Under the allowance method, Orontes writes off a customer's balance of 4,000. What is the effect?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Net income decreases by 4,000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No effect on net income or on net receivables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Net receivables decrease by 4,000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Total assets decrease by 4,000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27.  </w:t>
      </w:r>
      <w:r>
        <w:rPr>
          <w:sz w:val="19"/>
          <w:szCs w:val="19"/>
        </w:rPr>
        <w:t xml:space="preserve">Orontes transfers receivables to a bank but must buy them back before they mature. How should Orontes account for the transfer?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As a sale with recourse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As a sale without recourse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As a contract asset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As a secured borrowing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2</w:t>
      </w:r>
      <w:r>
        <w:rPr>
          <w:color w:val="FFFFFF"/>
          <w:sz w:val="15"/>
          <w:szCs w:val="15"/>
        </w:rPr>
        <w:t xml:space="preserve">   ·   items 13 to 27   ·   </w:t>
      </w:r>
      <w:r>
        <w:rPr>
          <w:color w:val="FFFFFF"/>
          <w:sz w:val="15"/>
          <w:szCs w:val="15"/>
        </w:rPr>
        <w:t xml:space="preserve">fewer than 11 right: </w:t>
      </w:r>
      <w:r>
        <w:rPr>
          <w:b/>
          <w:bCs/>
          <w:color w:val="FFFFFF"/>
          <w:sz w:val="15"/>
          <w:szCs w:val="15"/>
        </w:rPr>
        <w:t xml:space="preserve">redo page 2 before page 3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5 · true or false   </w:t>
      </w:r>
      <w:r>
        <w:rPr>
          <w:b/>
          <w:bCs/>
          <w:sz w:val="19"/>
          <w:szCs w:val="19"/>
        </w:rPr>
        <w:t xml:space="preserve">Ring T or F for each statement.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82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Statement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True or false?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28.  </w:t>
            </w:r>
            <w:r>
              <w:rPr>
                <w:sz w:val="18"/>
                <w:szCs w:val="18"/>
              </w:rPr>
              <w:t xml:space="preserve">It reduces cash flow from operations.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29.  </w:t>
            </w:r>
            <w:r>
              <w:rPr>
                <w:sz w:val="18"/>
                <w:szCs w:val="18"/>
              </w:rPr>
              <w:t xml:space="preserve">The invoice amount less expected credit losses, recorded as one net number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30.  </w:t>
            </w:r>
            <w:r>
              <w:rPr>
                <w:sz w:val="18"/>
                <w:szCs w:val="18"/>
              </w:rPr>
              <w:t xml:space="preserve">It is not allowed for U.S. tax returns.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31.  </w:t>
            </w:r>
            <w:r>
              <w:rPr>
                <w:sz w:val="18"/>
                <w:szCs w:val="18"/>
              </w:rPr>
              <w:t xml:space="preserve">Debit Allowance for credit losses, credit Accounts receivable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32.  </w:t>
            </w:r>
            <w:r>
              <w:rPr>
                <w:sz w:val="18"/>
                <w:szCs w:val="18"/>
              </w:rPr>
              <w:t xml:space="preserve">Pledging is not a transfer; only a note disclosure is needed.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33.  </w:t>
            </w:r>
            <w:r>
              <w:rPr>
                <w:sz w:val="18"/>
                <w:szCs w:val="18"/>
              </w:rPr>
              <w:t xml:space="preserve">As a secured borrowing, because there is recourse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34.  </w:t>
            </w:r>
            <w:r>
              <w:rPr>
                <w:sz w:val="18"/>
                <w:szCs w:val="18"/>
              </w:rPr>
              <w:t xml:space="preserve">IFRS treats it as a sale; U.S. GAAP treats it as a borrowing.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6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accounts receivable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تخصيم الذمم المدينة (بيع الديون)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allowance for credit losses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حق الرجوع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current expected credit losses (CECL)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الخسائر الائتمانية المتوقعة الحالية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aging schedule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مصروف الخسائر الائتمانية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credit loss expense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الذمم المدينة (المدينون)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write-off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جدول أعمار الذمم المدينة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factoring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مخصص الخسائر الائتمانية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recourse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شطب (إعدام) الدين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3</w:t>
      </w:r>
      <w:r>
        <w:rPr>
          <w:color w:val="FFFFFF"/>
          <w:sz w:val="15"/>
          <w:szCs w:val="15"/>
        </w:rPr>
        <w:t xml:space="preserve">   ·   items 28 to 42   ·   </w:t>
      </w:r>
      <w:r>
        <w:rPr>
          <w:color w:val="FFFFFF"/>
          <w:sz w:val="15"/>
          <w:szCs w:val="15"/>
        </w:rPr>
        <w:t xml:space="preserve">fewer than 11 right: </w:t>
      </w:r>
      <w:r>
        <w:rPr>
          <w:b/>
          <w:bCs/>
          <w:color w:val="FFFFFF"/>
          <w:sz w:val="15"/>
          <w:szCs w:val="15"/>
        </w:rPr>
        <w:t xml:space="preserve">redo page 3 before you leave the handout</w:t>
      </w:r>
    </w:p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6.2 · Transferring receivables: sale or secured borrowing?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CMA Part 1 · Section A · Chapter 6 · from section Receivables: Credit Losses and Transfers of the book · 4 pages, answer key on a separate sheet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1 · fill in the spaces   </w:t>
      </w:r>
      <w:r>
        <w:rPr>
          <w:b/>
          <w:bCs/>
          <w:sz w:val="19"/>
          <w:szCs w:val="19"/>
        </w:rPr>
        <w:t xml:space="preserve">Write the missing term in each numbered space. Every sentence is from section 6.3 of the book.</w:t>
      </w:r>
    </w:p>
    <w:tbl>
      <w:tblPr>
        <w:tblW w:type="pct" w:w="100%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100"/>
      </w:tblGrid>
      <w:tr>
        <w:tc>
          <w:tcPr>
            <w:shd w:fill="FBFAF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23265A"/>
                <w:sz w:val="15"/>
                <w:szCs w:val="15"/>
              </w:rPr>
              <w:t xml:space="preserve">WORD BANK</w:t>
            </w:r>
          </w:p>
          <w:p>
            <w:pPr>
              <w:spacing w:after="50" w:line="280" w:lineRule="auto"/>
            </w:pPr>
            <w:r>
              <w:rPr>
                <w:b/>
                <w:bCs/>
                <w:sz w:val="20"/>
                <w:szCs w:val="20"/>
              </w:rPr>
              <w:t xml:space="preserve">accounts receivable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effective control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factor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legal isolation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notes receivable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pledging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recourse liability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secured borrowing</w:t>
            </w:r>
          </w:p>
          <w:p>
            <w:r>
              <w:rPr>
                <w:color w:val="6B7280"/>
                <w:sz w:val="17"/>
                <w:szCs w:val="17"/>
              </w:rPr>
              <w:t xml:space="preserve">Not every word is used.</w:t>
            </w:r>
          </w:p>
        </w:tc>
      </w:tr>
    </w:tbl>
    <w:p/>
    <w:p>
      <w:pPr>
        <w:spacing w:before="20" w:after="70" w:line="272" w:lineRule="auto"/>
      </w:pPr>
      <w:r>
        <w:rPr>
          <w:sz w:val="20"/>
          <w:szCs w:val="20"/>
        </w:rPr>
        <w:t xml:space="preserve">It can use them as collateral for a loan (</w:t>
      </w:r>
      <w:r>
        <w:rPr>
          <w:vertAlign w:val="superscript"/>
          <w:color w:val="353A7C"/>
          <w:b/>
          <w:sz w:val="15"/>
        </w:rPr>
        <w:t>1</w:t>
      </w:r>
      <w:r>
        <w:rPr>
          <w:u w:val="single"/>
          <w:sz w:val="20"/>
          <w:szCs w:val="20"/>
        </w:rPr>
        <w:t xml:space="preserve">               </w:t>
      </w:r>
      <w:r>
        <w:rPr>
          <w:sz w:val="20"/>
          <w:szCs w:val="20"/>
        </w:rPr>
        <w:t xml:space="preserve">), or it can transfer them to a finance company called a factor.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First, </w:t>
      </w:r>
      <w:r>
        <w:rPr>
          <w:vertAlign w:val="superscript"/>
          <w:color w:val="353A7C"/>
          <w:b/>
          <w:sz w:val="15"/>
        </w:rPr>
        <w:t>2</w:t>
      </w:r>
      <w:r>
        <w:rPr>
          <w:u w:val="single"/>
          <w:sz w:val="20"/>
          <w:szCs w:val="20"/>
        </w:rPr>
        <w:t xml:space="preserve">                         </w:t>
      </w:r>
      <w:r>
        <w:rPr>
          <w:sz w:val="20"/>
          <w:szCs w:val="20"/>
        </w:rPr>
        <w:t xml:space="preserve">: the receivables are beyond the reach of the seller and its creditors, even in bankruptcy.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Second, the </w:t>
      </w:r>
      <w:r>
        <w:rPr>
          <w:vertAlign w:val="superscript"/>
          <w:color w:val="353A7C"/>
          <w:b/>
          <w:sz w:val="15"/>
        </w:rPr>
        <w:t>3</w:t>
      </w:r>
      <w:r>
        <w:rPr>
          <w:u w:val="single"/>
          <w:sz w:val="20"/>
          <w:szCs w:val="20"/>
        </w:rPr>
        <w:t xml:space="preserve">            </w:t>
      </w:r>
      <w:r>
        <w:rPr>
          <w:sz w:val="20"/>
          <w:szCs w:val="20"/>
        </w:rPr>
        <w:t xml:space="preserve"> can pledge or exchange the receivables.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Third, the seller does not keep </w:t>
      </w:r>
      <w:r>
        <w:rPr>
          <w:vertAlign w:val="superscript"/>
          <w:color w:val="353A7C"/>
          <w:b/>
          <w:sz w:val="15"/>
        </w:rPr>
        <w:t>4</w:t>
      </w:r>
      <w:r>
        <w:rPr>
          <w:u w:val="single"/>
          <w:sz w:val="20"/>
          <w:szCs w:val="20"/>
        </w:rPr>
        <w:t xml:space="preserve">                            </w:t>
      </w:r>
      <w:r>
        <w:rPr>
          <w:sz w:val="20"/>
          <w:szCs w:val="20"/>
        </w:rPr>
        <w:t xml:space="preserve">, for example through an agreement to buy the receivables back before they mature.</w:t>
      </w:r>
    </w:p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2 · fill in the table   </w:t>
      </w:r>
      <w:r>
        <w:rPr>
          <w:b/>
          <w:bCs/>
          <w:sz w:val="19"/>
          <w:szCs w:val="19"/>
        </w:rPr>
        <w:t xml:space="preserve">Complete the table. The first row is done; some cells are a word and some a figure.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6"/>
        <w:gridCol w:w="18"/>
        <w:gridCol w:w="18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Age of receivable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Amount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Expected loss rate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Required allowance</w:t>
            </w:r>
          </w:p>
        </w:tc>
      </w:tr>
      <w:tr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Current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180,000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2%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3,600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1–60 days past due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5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______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Over 60 days past due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7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______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Total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______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1</w:t>
      </w:r>
      <w:r>
        <w:rPr>
          <w:color w:val="FFFFFF"/>
          <w:sz w:val="15"/>
          <w:szCs w:val="15"/>
        </w:rPr>
        <w:t xml:space="preserve">   ·   items 1 to 9   ·   </w:t>
      </w:r>
      <w:r>
        <w:rPr>
          <w:color w:val="FFFFFF"/>
          <w:sz w:val="15"/>
          <w:szCs w:val="15"/>
        </w:rPr>
        <w:t xml:space="preserve">fewer than 6 right: </w:t>
      </w:r>
      <w:r>
        <w:rPr>
          <w:b/>
          <w:bCs/>
          <w:color w:val="FFFFFF"/>
          <w:sz w:val="15"/>
          <w:szCs w:val="15"/>
        </w:rPr>
        <w:t xml:space="preserve">read section 6.1 again before page 2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3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Under CECL, when does a company first recognize expected credit losses on a trade receivable?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When a loss becomes probable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When the customer misses a payment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When the receivable is first recognized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When the receivable is written off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A customer pays 1,500 that Orontes had written off last year. Under the allowance method, what is the first entry?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Debit Accounts receivable, credit Allowance for credit losses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Debit Cash, credit Revenue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Debit Cash, credit Credit loss expense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Debit Allowance for credit losses, credit Accounts receivable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Why is the direct write-off method not acceptable under U.S. GAAP when bad debts are material?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It is not allowed for U.S. tax returns.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It records losses too early.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It records losses late and shows receivables at more than the amount expected to be collected.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It reduces cash flow from operations.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Which statement about the percentage-of-sales approach is correct under CECL?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It is the method CECL requires.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It gives the required ending balance of the allowance.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It is the same as the direct write-off method.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It estimates the expense directly but does not measure expected losses on the ending receivables.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Orontes accepts a two-year note from a customer with no stated interest. How is the note recorded?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At its present value, with the discount amortized to interest revenue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At its face amount, with no interest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At its face amount plus interest at the market rate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At the customer's cost of the goods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Under ASU 2025-05, a practical expedient lets companies assume current conditions will not change when they forecast losses on current receivables. How should a CMA candidate treat it in 2026?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As the main CECL rule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As a rule that applies only to IFRS companies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As a replacement for the aging method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As a watch item that is not yet tested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4 · true or false   </w:t>
      </w:r>
      <w:r>
        <w:rPr>
          <w:b/>
          <w:bCs/>
          <w:sz w:val="19"/>
          <w:szCs w:val="19"/>
        </w:rPr>
        <w:t xml:space="preserve">Ring T or F for each statement.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82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Statement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True or false?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16.  </w:t>
            </w:r>
            <w:r>
              <w:rPr>
                <w:sz w:val="18"/>
                <w:szCs w:val="18"/>
              </w:rPr>
              <w:t xml:space="preserve">When the receivable is written off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17.  </w:t>
            </w:r>
            <w:r>
              <w:rPr>
                <w:sz w:val="18"/>
                <w:szCs w:val="18"/>
              </w:rPr>
              <w:t xml:space="preserve">CECL records lifetime expected losses from day one.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18.  </w:t>
            </w:r>
            <w:r>
              <w:rPr>
                <w:sz w:val="18"/>
                <w:szCs w:val="18"/>
              </w:rPr>
              <w:t xml:space="preserve">The invoice amount, with discounts recorded only when taken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19.  </w:t>
            </w:r>
            <w:r>
              <w:rPr>
                <w:sz w:val="18"/>
                <w:szCs w:val="18"/>
              </w:rPr>
              <w:t xml:space="preserve">In a borrowing, the receivables stay (pledged) and the cash received is a liability.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20.  </w:t>
            </w:r>
            <w:r>
              <w:rPr>
                <w:sz w:val="18"/>
                <w:szCs w:val="18"/>
              </w:rPr>
              <w:t xml:space="preserve">The company first reinstates the receivable; the second entry records the cash collection.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21.  </w:t>
            </w:r>
            <w:r>
              <w:rPr>
                <w:sz w:val="18"/>
                <w:szCs w:val="18"/>
              </w:rPr>
              <w:t xml:space="preserve">At its face amount, with no interest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22.  </w:t>
            </w:r>
            <w:r>
              <w:rPr>
                <w:sz w:val="18"/>
                <w:szCs w:val="18"/>
              </w:rPr>
              <w:t xml:space="preserve">It gives the required ending balance of the allowance.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2</w:t>
      </w:r>
      <w:r>
        <w:rPr>
          <w:color w:val="FFFFFF"/>
          <w:sz w:val="15"/>
          <w:szCs w:val="15"/>
        </w:rPr>
        <w:t xml:space="preserve">   ·   items 10 to 22   ·   </w:t>
      </w:r>
      <w:r>
        <w:rPr>
          <w:color w:val="FFFFFF"/>
          <w:sz w:val="15"/>
          <w:szCs w:val="15"/>
        </w:rPr>
        <w:t xml:space="preserve">fewer than 9 right: </w:t>
      </w:r>
      <w:r>
        <w:rPr>
          <w:b/>
          <w:bCs/>
          <w:color w:val="FFFFFF"/>
          <w:sz w:val="15"/>
          <w:szCs w:val="15"/>
        </w:rPr>
        <w:t xml:space="preserve">redo page 2 before page 3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5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secured borrowing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استرداد دين مشطوب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contract asset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اقتراض مضمون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cash discount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طريقة الشطب المباشر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notes receivable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التكلفة المستنفدة (التكلفة المطفأة)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amortized cost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أصل العقد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recovery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شركة التخصيم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direct write-off method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خصم تعجيل الدفع (خصم نقدي)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factor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أوراق القبض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6 · fill in the spaces   </w:t>
      </w:r>
      <w:r>
        <w:rPr>
          <w:b/>
          <w:bCs/>
          <w:sz w:val="19"/>
          <w:szCs w:val="19"/>
        </w:rPr>
        <w:t xml:space="preserve">Write the missing term in each numbered space. Every sentence is from section 6.3 of the book.</w:t>
      </w:r>
    </w:p>
    <w:tbl>
      <w:tblPr>
        <w:tblW w:type="pct" w:w="100%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100"/>
      </w:tblGrid>
      <w:tr>
        <w:tc>
          <w:tcPr>
            <w:shd w:fill="FBFAF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23265A"/>
                <w:sz w:val="15"/>
                <w:szCs w:val="15"/>
              </w:rPr>
              <w:t xml:space="preserve">WORD BANK</w:t>
            </w:r>
          </w:p>
          <w:p>
            <w:pPr>
              <w:spacing w:after="50" w:line="280" w:lineRule="auto"/>
            </w:pPr>
            <w:r>
              <w:rPr>
                <w:b/>
                <w:bCs/>
                <w:sz w:val="20"/>
                <w:szCs w:val="20"/>
              </w:rPr>
              <w:t xml:space="preserve">accounts receivable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effective control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factoring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legal isolation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notes receivable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recourse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recourse liability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secured borrowing</w:t>
            </w:r>
          </w:p>
          <w:p>
            <w:r>
              <w:rPr>
                <w:color w:val="6B7280"/>
                <w:sz w:val="17"/>
                <w:szCs w:val="17"/>
              </w:rPr>
              <w:t xml:space="preserve">Not every word is used.</w:t>
            </w:r>
          </w:p>
        </w:tc>
      </w:tr>
    </w:tbl>
    <w:p/>
    <w:p>
      <w:pPr>
        <w:spacing w:before="20" w:after="70" w:line="272" w:lineRule="auto"/>
      </w:pPr>
      <w:r>
        <w:rPr>
          <w:sz w:val="20"/>
          <w:szCs w:val="20"/>
        </w:rPr>
        <w:t xml:space="preserve">If any condition fails, the transfer is a </w:t>
      </w:r>
      <w:r>
        <w:rPr>
          <w:vertAlign w:val="superscript"/>
          <w:color w:val="353A7C"/>
          <w:b/>
          <w:sz w:val="15"/>
        </w:rPr>
        <w:t>31</w:t>
      </w:r>
      <w:r>
        <w:rPr>
          <w:u w:val="single"/>
          <w:sz w:val="20"/>
          <w:szCs w:val="20"/>
        </w:rPr>
        <w:t xml:space="preserve">                            </w:t>
      </w:r>
      <w:r>
        <w:rPr>
          <w:sz w:val="20"/>
          <w:szCs w:val="20"/>
        </w:rPr>
        <w:t xml:space="preserve">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If the three conditions are met, a transfer with </w:t>
      </w:r>
      <w:r>
        <w:rPr>
          <w:vertAlign w:val="superscript"/>
          <w:color w:val="353A7C"/>
          <w:b/>
          <w:sz w:val="15"/>
        </w:rPr>
        <w:t>32</w:t>
      </w:r>
      <w:r>
        <w:rPr>
          <w:u w:val="single"/>
          <w:sz w:val="20"/>
          <w:szCs w:val="20"/>
        </w:rPr>
        <w:t xml:space="preserve">               </w:t>
      </w:r>
      <w:r>
        <w:rPr>
          <w:sz w:val="20"/>
          <w:szCs w:val="20"/>
        </w:rPr>
        <w:t xml:space="preserve"> is still a sale.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The seller then records a </w:t>
      </w:r>
      <w:r>
        <w:rPr>
          <w:vertAlign w:val="superscript"/>
          <w:color w:val="353A7C"/>
          <w:b/>
          <w:sz w:val="15"/>
        </w:rPr>
        <w:t>33</w:t>
      </w:r>
      <w:r>
        <w:rPr>
          <w:u w:val="single"/>
          <w:sz w:val="20"/>
          <w:szCs w:val="20"/>
        </w:rPr>
        <w:t xml:space="preserve">                              </w:t>
      </w:r>
      <w:r>
        <w:rPr>
          <w:sz w:val="20"/>
          <w:szCs w:val="20"/>
        </w:rPr>
        <w:t xml:space="preserve"> at its fair value, which increases the loss on the sale.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As a secured borrowing SC6-6 Use the Orontes </w:t>
      </w:r>
      <w:r>
        <w:rPr>
          <w:vertAlign w:val="superscript"/>
          <w:color w:val="353A7C"/>
          <w:b/>
          <w:sz w:val="15"/>
        </w:rPr>
        <w:t>34</w:t>
      </w:r>
      <w:r>
        <w:rPr>
          <w:u w:val="single"/>
          <w:sz w:val="20"/>
          <w:szCs w:val="20"/>
        </w:rPr>
        <w:t xml:space="preserve">                </w:t>
      </w:r>
      <w:r>
        <w:rPr>
          <w:sz w:val="20"/>
          <w:szCs w:val="20"/>
        </w:rPr>
        <w:t xml:space="preserve"> example in Section 6.3.</w:t>
      </w:r>
    </w:p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3</w:t>
      </w:r>
      <w:r>
        <w:rPr>
          <w:color w:val="FFFFFF"/>
          <w:sz w:val="15"/>
          <w:szCs w:val="15"/>
        </w:rPr>
        <w:t xml:space="preserve">   ·   items 23 to 34   ·   </w:t>
      </w:r>
      <w:r>
        <w:rPr>
          <w:color w:val="FFFFFF"/>
          <w:sz w:val="15"/>
          <w:szCs w:val="15"/>
        </w:rPr>
        <w:t xml:space="preserve">fewer than 9 right: </w:t>
      </w:r>
      <w:r>
        <w:rPr>
          <w:b/>
          <w:bCs/>
          <w:color w:val="FFFFFF"/>
          <w:sz w:val="15"/>
          <w:szCs w:val="15"/>
        </w:rPr>
        <w:t xml:space="preserve">redo page 3 before page 4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7 · fill in the table   </w:t>
      </w:r>
      <w:r>
        <w:rPr>
          <w:b/>
          <w:bCs/>
          <w:sz w:val="19"/>
          <w:szCs w:val="19"/>
        </w:rPr>
        <w:t xml:space="preserve">Answer each item of the case set. The first one is done.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70"/>
        <w:gridCol w:w="30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The item, as the book asks it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Your answer</w:t>
            </w:r>
          </w:p>
        </w:tc>
      </w:tr>
      <w:tr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the required allowance for credit losses at December 31, 2025.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30,000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the credit loss expense for 2025.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35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net accounts receivable at December 31, 2025.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36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the loss on transfer T2.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37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In January 2026 Orontes writes off a customer balance of $4,500. The effect on net accounts receivable is: [select]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38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4</w:t>
      </w:r>
      <w:r>
        <w:rPr>
          <w:color w:val="FFFFFF"/>
          <w:sz w:val="15"/>
          <w:szCs w:val="15"/>
        </w:rPr>
        <w:t xml:space="preserve">   ·   items 35 to 38   ·   </w:t>
      </w:r>
      <w:r>
        <w:rPr>
          <w:color w:val="FFFFFF"/>
          <w:sz w:val="15"/>
          <w:szCs w:val="15"/>
        </w:rPr>
        <w:t xml:space="preserve">fewer than 3 right: </w:t>
      </w:r>
      <w:r>
        <w:rPr>
          <w:b/>
          <w:bCs/>
          <w:color w:val="FFFFFF"/>
          <w:sz w:val="15"/>
          <w:szCs w:val="15"/>
        </w:rPr>
        <w:t xml:space="preserve">redo page 4 before you leave the handout</w:t>
      </w:r>
    </w:p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6.3 · Receivables: exam practice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CMA Part 1 · Section A · Chapter 6 · from section Receivables: Credit Losses and Transfers of the book · 4 pages, answer key on a separate sheet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1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Receivables are transferred with recourse. They are legally isolated, the factor may pledge them, and the seller has no repurchase right or duty. How is the transfer recorded?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As a secured borrowing, because there is recourse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As a sale, with no liability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As a sale, with a recourse liability at fair value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As a pledge of receivables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Use the Orontes factoring example. If the transfer with recourse qualifies as a sale, what is the loss (whole USD)?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6,000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15,000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21,000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40,000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Compared with a sale of receivables, a secured borrowing: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removes the receivables and adds no liability.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removes the receivables and adds a recourse liability.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keeps the receivables on the balance sheet and adds a liability.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has no effect on the balance sheet.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Orontes pledges its receivables as collateral for a bank loan. How are the receivables reported?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They stay on the balance sheet, with disclosure of the pledge.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They are removed from the balance sheet.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They are reclassified as a liability.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They are written down to fair value.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Under IFRS 9, how are expected credit losses measured on trade receivables without a significant financing component?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At 12-month expected losses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Only when a loss is probable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Only when the receivable is written off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Always at lifetime expected losses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Receivables are factored with substantial recourse. The transfer meets the three ASC 860 conditions. Which statement is MOST likely correct?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Both frameworks treat it as a borrowing.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U.S. GAAP treats it as a sale; IFRS 9 may treat it as a borrowing.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Both frameworks treat it as a sale with no liability.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IFRS treats it as a sale; U.S. GAAP treats it as a borrowing.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Spiral review (Chapter 1). Where is the allowance for credit losses reported?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As a liability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As an expense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As a contra-asset, deducted from accounts receivable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As a reduction of equity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Spiral review (Chapter 1). Recording credit loss expense in the period of the sale, before any customer defaults, is an example of: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the cash basis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the direct write-off method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immediate recognition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the matching principle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1</w:t>
      </w:r>
      <w:r>
        <w:rPr>
          <w:color w:val="FFFFFF"/>
          <w:sz w:val="15"/>
          <w:szCs w:val="15"/>
        </w:rPr>
        <w:t xml:space="preserve">   ·   items 1 to 8   ·   </w:t>
      </w:r>
      <w:r>
        <w:rPr>
          <w:color w:val="FFFFFF"/>
          <w:sz w:val="15"/>
          <w:szCs w:val="15"/>
        </w:rPr>
        <w:t xml:space="preserve">fewer than 6 right: </w:t>
      </w:r>
      <w:r>
        <w:rPr>
          <w:b/>
          <w:bCs/>
          <w:color w:val="FFFFFF"/>
          <w:sz w:val="15"/>
          <w:szCs w:val="15"/>
        </w:rPr>
        <w:t xml:space="preserve">read section 6.1 again before page 2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2 · true or false   </w:t>
      </w:r>
      <w:r>
        <w:rPr>
          <w:b/>
          <w:bCs/>
          <w:sz w:val="19"/>
          <w:szCs w:val="19"/>
        </w:rPr>
        <w:t xml:space="preserve">Ring T or F for each statement.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82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Statement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True or false?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9.  </w:t>
            </w:r>
            <w:r>
              <w:rPr>
                <w:sz w:val="18"/>
                <w:szCs w:val="18"/>
              </w:rPr>
              <w:t xml:space="preserve">Only when the receivable is written off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10.  </w:t>
            </w:r>
            <w:r>
              <w:rPr>
                <w:sz w:val="18"/>
                <w:szCs w:val="18"/>
              </w:rPr>
              <w:t xml:space="preserve">It is the same as the direct write-off method.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11.  </w:t>
            </w:r>
            <w:r>
              <w:rPr>
                <w:sz w:val="18"/>
                <w:szCs w:val="18"/>
              </w:rPr>
              <w:t xml:space="preserve">The repurchase duty means Orontes keeps effective control, so the sale conditions fail.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12.  </w:t>
            </w:r>
            <w:r>
              <w:rPr>
                <w:sz w:val="18"/>
                <w:szCs w:val="18"/>
              </w:rPr>
              <w:t xml:space="preserve">IFRS 9 focuses on risks and rewards; substantial recourse often keeps the risk with the seller.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13.  </w:t>
            </w:r>
            <w:r>
              <w:rPr>
                <w:sz w:val="18"/>
                <w:szCs w:val="18"/>
              </w:rPr>
              <w:t xml:space="preserve">It is effective for annual periods beginning after December 15, 2025; under the one-year rule it is not yet tested.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14.  </w:t>
            </w:r>
            <w:r>
              <w:rPr>
                <w:sz w:val="18"/>
                <w:szCs w:val="18"/>
              </w:rPr>
              <w:t xml:space="preserve">Receivables are recorded at the transaction price; expected discounts and returns are variable consideration. Short-term receivables are not discounted.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15.  </w:t>
            </w:r>
            <w:r>
              <w:rPr>
                <w:sz w:val="18"/>
                <w:szCs w:val="18"/>
              </w:rPr>
              <w:t xml:space="preserve">The simplified approach requires lifetime expected losses for these receivables.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3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recourse liability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العزل القانوني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holdback (due from factor)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التزام حق الرجوع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pledging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المبلغ المحتجز (مستحق من شركة التخصيم)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effective control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رهن الذمم المدينة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legal isolation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السيطرة الفعلية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2</w:t>
      </w:r>
      <w:r>
        <w:rPr>
          <w:color w:val="FFFFFF"/>
          <w:sz w:val="15"/>
          <w:szCs w:val="15"/>
        </w:rPr>
        <w:t xml:space="preserve">   ·   items 9 to 20   ·   </w:t>
      </w:r>
      <w:r>
        <w:rPr>
          <w:color w:val="FFFFFF"/>
          <w:sz w:val="15"/>
          <w:szCs w:val="15"/>
        </w:rPr>
        <w:t xml:space="preserve">fewer than 9 right: </w:t>
      </w:r>
      <w:r>
        <w:rPr>
          <w:b/>
          <w:bCs/>
          <w:color w:val="FFFFFF"/>
          <w:sz w:val="15"/>
          <w:szCs w:val="15"/>
        </w:rPr>
        <w:t xml:space="preserve">redo page 2 before page 3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4 · multiple choice   </w:t>
      </w:r>
      <w:r>
        <w:rPr>
          <w:b/>
          <w:bCs/>
          <w:sz w:val="19"/>
          <w:szCs w:val="19"/>
        </w:rPr>
        <w:t xml:space="preserve">Ring one letter for each question. Everything the questions need is in the panel below.</w:t>
      </w:r>
    </w:p>
    <w:p>
      <w:pPr>
        <w:spacing w:before="110" w:after="30"/>
        <w:ind w:left="120"/>
        <w:shd w:fill="6D3F7E" w:val="clear"/>
      </w:pPr>
      <w:r>
        <w:rPr>
          <w:b/>
          <w:bCs/>
          <w:color w:val="FFFFFF"/>
          <w:sz w:val="14"/>
          <w:szCs w:val="14"/>
        </w:rPr>
        <w:t xml:space="preserve">DATA   </w:t>
      </w:r>
      <w:r>
        <w:rPr>
          <w:b/>
          <w:bCs/>
          <w:color w:val="FFFFFF"/>
          <w:sz w:val="15"/>
          <w:szCs w:val="15"/>
        </w:rPr>
        <w:t xml:space="preserve">The exhibit these questions use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25"/>
        <w:gridCol w:w="25"/>
        <w:gridCol w:w="25"/>
        <w:gridCol w:w="25"/>
      </w:tblGrid>
      <w:tr>
        <w:tc>
          <w:tcPr>
            <w:shd w:fill="F5F7FC" w:val="clear"/>
            <w:tcMar>
              <w:top w:type="dxa" w:w="12"/>
              <w:left w:type="dxa" w:w="72"/>
              <w:bottom w:type="dxa" w:w="12"/>
              <w:right w:type="dxa" w:w="72"/>
            </w:tcMar>
          </w:tcPr>
          <w:p>
            <w:r>
              <w:rPr>
                <w:b/>
                <w:bCs/>
                <w:color w:val="23265A"/>
                <w:sz w:val="16"/>
                <w:szCs w:val="16"/>
              </w:rPr>
              <w:t xml:space="preserve">Age of receivable</w:t>
            </w:r>
          </w:p>
        </w:tc>
        <w:tc>
          <w:tcPr>
            <w:shd w:fill="F5F7FC" w:val="clear"/>
            <w:tcMar>
              <w:top w:type="dxa" w:w="12"/>
              <w:left w:type="dxa" w:w="72"/>
              <w:bottom w:type="dxa" w:w="12"/>
              <w:right w:type="dxa" w:w="72"/>
            </w:tcMar>
          </w:tcPr>
          <w:p>
            <w:r>
              <w:rPr>
                <w:b/>
                <w:bCs/>
                <w:color w:val="23265A"/>
                <w:sz w:val="16"/>
                <w:szCs w:val="16"/>
              </w:rPr>
              <w:t xml:space="preserve">Amount</w:t>
            </w:r>
          </w:p>
        </w:tc>
        <w:tc>
          <w:tcPr>
            <w:shd w:fill="F5F7FC" w:val="clear"/>
            <w:tcMar>
              <w:top w:type="dxa" w:w="12"/>
              <w:left w:type="dxa" w:w="72"/>
              <w:bottom w:type="dxa" w:w="12"/>
              <w:right w:type="dxa" w:w="72"/>
            </w:tcMar>
          </w:tcPr>
          <w:p>
            <w:r>
              <w:rPr>
                <w:b/>
                <w:bCs/>
                <w:color w:val="23265A"/>
                <w:sz w:val="16"/>
                <w:szCs w:val="16"/>
              </w:rPr>
              <w:t xml:space="preserve">Expected loss rate</w:t>
            </w:r>
          </w:p>
        </w:tc>
        <w:tc>
          <w:tcPr>
            <w:shd w:fill="F5F7FC" w:val="clear"/>
            <w:tcMar>
              <w:top w:type="dxa" w:w="12"/>
              <w:left w:type="dxa" w:w="72"/>
              <w:bottom w:type="dxa" w:w="12"/>
              <w:right w:type="dxa" w:w="72"/>
            </w:tcMar>
          </w:tcPr>
          <w:p>
            <w:r>
              <w:rPr>
                <w:b/>
                <w:bCs/>
                <w:color w:val="23265A"/>
                <w:sz w:val="16"/>
                <w:szCs w:val="16"/>
              </w:rPr>
              <w:t xml:space="preserve">Required allowance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Current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400,000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1%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4,000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1–30 days past due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150,000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3%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4,500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31–60 days past due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60,000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10%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6,000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61–90 days past due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30,000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25%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7,500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Over 90 days past due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20,000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60%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12,000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Total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660,000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/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34,000</w:t>
            </w:r>
          </w:p>
        </w:tc>
      </w:tr>
    </w:tbl>
    <w:p/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Use the panel above. What is the required allowance for credit losses at December 31, 2025 (whole USD)?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6,000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28,000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34,000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626,000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5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accounts receivable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تخصيم الذمم المدينة (بيع الديون)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allowance for credit losses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حق الرجوع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current expected credit losses (CECL)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الخسائر الائتمانية المتوقعة الحالية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aging schedule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مصروف الخسائر الائتمانية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credit loss expense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الذمم المدينة (المدينون)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write-off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جدول أعمار الذمم المدينة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factoring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مخصص الخسائر الائتمانية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recourse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شطب (إعدام) الدين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3</w:t>
      </w:r>
      <w:r>
        <w:rPr>
          <w:color w:val="FFFFFF"/>
          <w:sz w:val="15"/>
          <w:szCs w:val="15"/>
        </w:rPr>
        <w:t xml:space="preserve">   ·   items 21 to 29   ·   </w:t>
      </w:r>
      <w:r>
        <w:rPr>
          <w:color w:val="FFFFFF"/>
          <w:sz w:val="15"/>
          <w:szCs w:val="15"/>
        </w:rPr>
        <w:t xml:space="preserve">fewer than 6 right: </w:t>
      </w:r>
      <w:r>
        <w:rPr>
          <w:b/>
          <w:bCs/>
          <w:color w:val="FFFFFF"/>
          <w:sz w:val="15"/>
          <w:szCs w:val="15"/>
        </w:rPr>
        <w:t xml:space="preserve">redo page 3 before page 4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6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secured borrowing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استرداد دين مشطوب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contract asset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اقتراض مضمون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cash discount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طريقة الشطب المباشر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notes receivable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التكلفة المستنفدة (التكلفة المطفأة)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amortized cost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أصل العقد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recovery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شركة التخصيم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direct write-off method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خصم تعجيل الدفع (خصم نقدي)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factor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أوراق القبض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7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recourse liability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العزل القانوني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holdback (due from factor)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التزام حق الرجوع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pledging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المبلغ المحتجز (مستحق من شركة التخصيم)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effective control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رهن الذمم المدينة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legal isolation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السيطرة الفعلية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4</w:t>
      </w:r>
      <w:r>
        <w:rPr>
          <w:color w:val="FFFFFF"/>
          <w:sz w:val="15"/>
          <w:szCs w:val="15"/>
        </w:rPr>
        <w:t xml:space="preserve">   ·   items 30 to 42   ·   </w:t>
      </w:r>
      <w:r>
        <w:rPr>
          <w:color w:val="FFFFFF"/>
          <w:sz w:val="15"/>
          <w:szCs w:val="15"/>
        </w:rPr>
        <w:t xml:space="preserve">fewer than 9 right: </w:t>
      </w:r>
      <w:r>
        <w:rPr>
          <w:b/>
          <w:bCs/>
          <w:color w:val="FFFFFF"/>
          <w:sz w:val="15"/>
          <w:szCs w:val="15"/>
        </w:rPr>
        <w:t xml:space="preserve">redo page 4 before you leave the handout</w:t>
      </w:r>
    </w:p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3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6.1 · The allowance for credit losses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6.1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3</w:t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6.2 · Transferring receivables: sale or secured borrowing?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6.2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4</w:t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6.3 · Receivables: exam practice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6.3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4</w:t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Section A · Chapter 6</dc:title>
  <dc:subject>Receivables: Credit Losses and Transfers</dc:subject>
  <cp:category>Student Book</cp:category>
</cp:coreProperties>
</file>