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7.1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Which goods belong in inventory? · Which costs belong in inventory? · Inventory I: Goods, Costs and Cost Flows · 56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250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No: period cost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22,000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inventory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purchase discount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normal capacity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consignment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abnormal waste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consignee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84,000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physical count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288,000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inventory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279,000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(400)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93,000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Yes (reduces cost)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279,000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1,200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97,633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900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300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700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No: selling expense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9   </w:t>
      </w:r>
      <w:r>
        <w:rPr>
          <w:sz w:val="15"/>
          <w:szCs w:val="15"/>
        </w:rPr>
        <w:t xml:space="preserve">section 7.1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10   </w:t>
      </w:r>
      <w:r>
        <w:rPr>
          <w:sz w:val="15"/>
          <w:szCs w:val="15"/>
        </w:rPr>
        <w:t xml:space="preserve">section 7.1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11   </w:t>
      </w:r>
      <w:r>
        <w:rPr>
          <w:sz w:val="15"/>
          <w:szCs w:val="15"/>
        </w:rPr>
        <w:t xml:space="preserve">section 7.1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12   </w:t>
      </w:r>
      <w:r>
        <w:rPr>
          <w:sz w:val="15"/>
          <w:szCs w:val="15"/>
        </w:rPr>
        <w:t xml:space="preserve">section 7.1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23   </w:t>
      </w:r>
      <w:r>
        <w:rPr>
          <w:sz w:val="15"/>
          <w:szCs w:val="15"/>
        </w:rPr>
        <w:t xml:space="preserve">Under FOB shipping point, control passes to the buyer when the goods leave the seller.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24   </w:t>
      </w:r>
      <w:r>
        <w:rPr>
          <w:sz w:val="15"/>
          <w:szCs w:val="15"/>
        </w:rPr>
        <w:t xml:space="preserve">Orontes is the consignor and still owns the goods. Barada, the consignee, never includes them.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25   </w:t>
      </w:r>
      <w:r>
        <w:rPr>
          <w:sz w:val="15"/>
          <w:szCs w:val="15"/>
        </w:rPr>
        <w:t xml:space="preserve">Freight-in brings the goods to their present location, so it is part of cost.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26   </w:t>
      </w:r>
      <w:r>
        <w:rPr>
          <w:sz w:val="15"/>
          <w:szCs w:val="15"/>
        </w:rPr>
        <w:t xml:space="preserve">Invoice less the discount taken, plus freight-in, import duty and transit insurance.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27   </w:t>
      </w:r>
      <w:r>
        <w:rPr>
          <w:sz w:val="15"/>
          <w:szCs w:val="15"/>
        </w:rPr>
        <w:t xml:space="preserve">LIFO sends the newest costs to cost of goods sold, so the oldest costs stay in inventory.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28   </w:t>
      </w:r>
      <w:r>
        <w:rPr>
          <w:sz w:val="15"/>
          <w:szCs w:val="15"/>
        </w:rPr>
        <w:t xml:space="preserve">Cost of goods available divided by units available.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30   </w:t>
      </w:r>
      <w:r>
        <w:rPr>
          <w:sz w:val="15"/>
          <w:szCs w:val="15"/>
        </w:rPr>
        <w:t xml:space="preserve">A liquidation raises income; it does not create a loss.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31   </w:t>
      </w:r>
      <w:r>
        <w:rPr>
          <w:sz w:val="15"/>
          <w:szCs w:val="15"/>
        </w:rPr>
        <w:t xml:space="preserve">Control has not passed, so no sale is recorded yet.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32   </w:t>
      </w:r>
      <w:r>
        <w:rPr>
          <w:sz w:val="15"/>
          <w:szCs w:val="15"/>
        </w:rPr>
        <w:t xml:space="preserve">That is specific identification.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34   </w:t>
      </w:r>
      <w:r>
        <w:rPr>
          <w:sz w:val="15"/>
          <w:szCs w:val="15"/>
        </w:rPr>
        <w:t xml:space="preserve">The obligation exists now, so the purchase is recorded now.</w:t>
      </w:r>
    </w:p>
    <w:p/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7.2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Cost flow assumptions · Inventory I: Goods, Costs and Cost Flows · 47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moving average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specific identification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$6,600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$10,000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$25,000 + $26,400 = $51,400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$6,600 + $10,000 = $16,600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295,000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1,030,050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overstated by $34,000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35,500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inventory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   </w:t>
      </w:r>
      <w:r>
        <w:rPr>
          <w:sz w:val="15"/>
          <w:szCs w:val="15"/>
        </w:rPr>
        <w:t xml:space="preserve">No future benefit exists, so it is not an asset.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6   </w:t>
      </w:r>
      <w:r>
        <w:rPr>
          <w:sz w:val="15"/>
          <w:szCs w:val="15"/>
        </w:rPr>
        <w:t xml:space="preserve">Location does not decide; ownership and control do.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7   </w:t>
      </w:r>
      <w:r>
        <w:rPr>
          <w:sz w:val="15"/>
          <w:szCs w:val="15"/>
        </w:rPr>
        <w:t xml:space="preserve">Perpetual LIFO can only use costs that exist on each sale date.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16   </w:t>
      </w:r>
      <w:r>
        <w:rPr>
          <w:sz w:val="15"/>
          <w:szCs w:val="15"/>
        </w:rPr>
        <w:t xml:space="preserve">section 7.3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17   </w:t>
      </w:r>
      <w:r>
        <w:rPr>
          <w:sz w:val="15"/>
          <w:szCs w:val="15"/>
        </w:rPr>
        <w:t xml:space="preserve">section 7.3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18   </w:t>
      </w:r>
      <w:r>
        <w:rPr>
          <w:sz w:val="15"/>
          <w:szCs w:val="15"/>
        </w:rPr>
        <w:t xml:space="preserve">section 7.3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23   </w:t>
      </w:r>
      <w:r>
        <w:rPr>
          <w:sz w:val="15"/>
          <w:szCs w:val="15"/>
        </w:rPr>
        <w:t xml:space="preserve">Under FOB destination, the seller keeps control until delivery.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24   </w:t>
      </w:r>
      <w:r>
        <w:rPr>
          <w:sz w:val="15"/>
          <w:szCs w:val="15"/>
        </w:rPr>
        <w:t xml:space="preserve">Fixed overhead is allocated on normal capacity; the unallocated part is a period expense.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25   </w:t>
      </w:r>
      <w:r>
        <w:rPr>
          <w:sz w:val="15"/>
          <w:szCs w:val="15"/>
        </w:rPr>
        <w:t xml:space="preserve">Advertising is a selling cost, expensed when incurred.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26   </w:t>
      </w:r>
      <w:r>
        <w:rPr>
          <w:sz w:val="15"/>
          <w:szCs w:val="15"/>
        </w:rPr>
        <w:t xml:space="preserve">FIFO always sells the oldest units first, whatever the timing of sales.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27   </w:t>
      </w:r>
      <w:r>
        <w:rPr>
          <w:sz w:val="15"/>
          <w:szCs w:val="15"/>
        </w:rPr>
        <w:t xml:space="preserve">Goods available minus FIFO ending inventory (the newest costs).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28   </w:t>
      </w:r>
      <w:r>
        <w:rPr>
          <w:sz w:val="15"/>
          <w:szCs w:val="15"/>
        </w:rPr>
        <w:t xml:space="preserve">150 units remain at the oldest costs: 100 × $10 + 50 × $12 = 1,600.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29   </w:t>
      </w:r>
      <w:r>
        <w:rPr>
          <w:sz w:val="15"/>
          <w:szCs w:val="15"/>
        </w:rPr>
        <w:t xml:space="preserve">The rule links tax and book methods; it does not force one method everywhere.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30   </w:t>
      </w:r>
      <w:r>
        <w:rPr>
          <w:sz w:val="15"/>
          <w:szCs w:val="15"/>
        </w:rPr>
        <w:t xml:space="preserve">The olives become an expense only when the products are sold.</w:t>
      </w:r>
    </w:p>
    <w:p/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7.3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Inventory I: exam practice · Inventory I: Goods, Costs and Cost Flows · 47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   </w:t>
      </w:r>
      <w:r>
        <w:rPr>
          <w:sz w:val="15"/>
          <w:szCs w:val="15"/>
        </w:rPr>
        <w:t xml:space="preserve">It tracks the cost of each individual item, which is practical only for distinct items.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   </w:t>
      </w:r>
      <w:r>
        <w:rPr>
          <w:sz w:val="15"/>
          <w:szCs w:val="15"/>
        </w:rPr>
        <w:t xml:space="preserve">With falling prices, LIFO puts the newest, lowest costs into cost of goods sold.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   </w:t>
      </w:r>
      <w:r>
        <w:rPr>
          <w:sz w:val="15"/>
          <w:szCs w:val="15"/>
        </w:rPr>
        <w:t xml:space="preserve">FIFO inventory minus LIFO inventory.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4   </w:t>
      </w:r>
      <w:r>
        <w:rPr>
          <w:sz w:val="15"/>
          <w:szCs w:val="15"/>
        </w:rPr>
        <w:t xml:space="preserve">Old, low costs flow into cost of goods sold, so gross profit rises for that year.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5   </w:t>
      </w:r>
      <w:r>
        <w:rPr>
          <w:sz w:val="15"/>
          <w:szCs w:val="15"/>
        </w:rPr>
        <w:t xml:space="preserve">It is a U.S. tax rule that links the tax method to the financial statements.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6   </w:t>
      </w:r>
      <w:r>
        <w:rPr>
          <w:sz w:val="15"/>
          <w:szCs w:val="15"/>
        </w:rPr>
        <w:t xml:space="preserve">The error overstates 2025 income and understates 2026 income by the same amount, so it counterbalances.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13   </w:t>
      </w:r>
      <w:r>
        <w:rPr>
          <w:sz w:val="15"/>
          <w:szCs w:val="15"/>
        </w:rPr>
        <w:t xml:space="preserve">After-tax effect = pretax error × (1 − tax rate).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14   </w:t>
      </w:r>
      <w:r>
        <w:rPr>
          <w:sz w:val="15"/>
          <w:szCs w:val="15"/>
        </w:rPr>
        <w:t xml:space="preserve">COGS = beginning inventory + purchases − ending inventory, so low ending inventory raises COGS.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15   </w:t>
      </w:r>
      <w:r>
        <w:rPr>
          <w:sz w:val="15"/>
          <w:szCs w:val="15"/>
        </w:rPr>
        <w:t xml:space="preserve">Inventory (an asset) and accounts payable (a liability) both increase.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16   </w:t>
      </w:r>
      <w:r>
        <w:rPr>
          <w:sz w:val="15"/>
          <w:szCs w:val="15"/>
        </w:rPr>
        <w:t xml:space="preserve">Cost of goods sold links directly to each sale.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17   </w:t>
      </w:r>
      <w:r>
        <w:rPr>
          <w:sz w:val="15"/>
          <w:szCs w:val="15"/>
        </w:rPr>
        <w:t xml:space="preserve">LIFO  IAS 2 prohibits LIFO.</w:t>
      </w:r>
    </w:p>
    <w:p/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3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7.1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7.2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7.3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Section A · Chapter 7 · Answer Keys</dc:title>
  <dc:subject>Inventory I: Goods, Costs and Cost Flows</dc:subject>
  <cp:category>Student Book</cp:category>
</cp:coreProperties>
</file>