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Three categories of debt securities · Investments in Debt and Equity Securities · 40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Fair value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Net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Measurement alternative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Net income (price changes, impairment)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Cost + share of income − dividends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Not recognized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debt security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 security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fair value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Fair value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OCI (credit losses: net income)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Amortized cost − allowance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9.1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9.1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9.1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It is not bought to trade in the near term, and the possible sales rule out HTM.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Only debt securities have a maturity; shares never qualify.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Beginning carrying amount × market rate.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AFS unrealized gains and losses go to OCI.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The credit loss is limited to amortized cost minus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With an intent to sell, the whole decline goes to net income as a write-down.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33   </w:t>
      </w:r>
      <w:r>
        <w:rPr>
          <w:sz w:val="15"/>
          <w:szCs w:val="15"/>
        </w:rPr>
        <w:t xml:space="preserve">Shares without significant influence are measured at fair value through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36   </w:t>
      </w:r>
      <w:r>
        <w:rPr>
          <w:sz w:val="15"/>
          <w:szCs w:val="15"/>
        </w:rPr>
        <w:t xml:space="preserve">A need for cash is not one of the permitted reasons.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37   </w:t>
      </w:r>
      <w:r>
        <w:rPr>
          <w:sz w:val="15"/>
          <w:szCs w:val="15"/>
        </w:rPr>
        <w:t xml:space="preserve">The allowance approach applies only when the company does not intend to sell.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38   </w:t>
      </w:r>
      <w:r>
        <w:rPr>
          <w:sz w:val="15"/>
          <w:szCs w:val="15"/>
        </w:rPr>
        <w:t xml:space="preserve">AFS has its own model with the fair-value floor.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39   </w:t>
      </w:r>
      <w:r>
        <w:rPr>
          <w:sz w:val="15"/>
          <w:szCs w:val="15"/>
        </w:rPr>
        <w:t xml:space="preserve">Both frameworks measure trading debt at fair value through income.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Measuring debt securities · Equity securities and the equity method · Investments in Debt and Equity Securities · 45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952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100,000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fair value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effective-interest method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investee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reclassification adjustment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 method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significant influence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5,093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basis difference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9.2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9.2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section 9.2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Both intent and ability are required.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Selling HTM securities outside the permitted cases calls the company's intent into question.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Cost minus the premium amortized in 2025.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Fair value minus amortized cost: the loss goes to net income for trading securities.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Sale price minus amortized cost; the accumulated OCI is reclassified.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HTM securities are not remeasured to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A one-year view is not enough; the intent must cover the whole period to maturity.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Both frameworks use amortized cost for such debt.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42   </w:t>
      </w:r>
      <w:r>
        <w:rPr>
          <w:sz w:val="15"/>
          <w:szCs w:val="15"/>
        </w:rPr>
        <w:t xml:space="preserve">section 9.4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43   </w:t>
      </w:r>
      <w:r>
        <w:rPr>
          <w:sz w:val="15"/>
          <w:szCs w:val="15"/>
        </w:rPr>
        <w:t xml:space="preserve">section 9.4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44   </w:t>
      </w:r>
      <w:r>
        <w:rPr>
          <w:sz w:val="15"/>
          <w:szCs w:val="15"/>
        </w:rPr>
        <w:t xml:space="preserve">section 9.4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Investments in Debt and Equity Securities: the figures and the schedules · Investments in Debt and Equity Securities · 44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Held-to-maturity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Available-for-sale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Equity: fair value through net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 method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J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(1,500)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520,000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HTM follows CECL; AFS uses an allowance capped by the fair-value floor.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Unrealized gain plus dividend income; both go to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This is the measurement alternative in ASC 321.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Board seats and policy participation show significant influence, even below the usual presumption.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Cost + share of income − extra depreciation − dividends.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Equity-method goodwill is part of the investment and is not amortized.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The credit part goes to net income; only the non-credit part goes to OCI.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A realized gain on sale goes to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AFS is measured at fair value; HTM stays at amortized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It stays inside the single investment account.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With significant influence, the equity method applies (unless the fair value option is elected).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Since ASU 2016-07 the change is applied prospectively.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IFRS 9 allows the FVOCI election for shares; U.S. GAAP puts all changes on shares in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33   </w:t>
      </w:r>
      <w:r>
        <w:rPr>
          <w:sz w:val="15"/>
          <w:szCs w:val="15"/>
        </w:rPr>
        <w:t xml:space="preserve">Revenue is recognized as earned, measured by the effective-interest method, not by the cash received.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9 · Answer Keys</dc:title>
  <dc:subject>Investments in Debt and Equity Securities</dc:subject>
  <cp:category>Student Book</cp:category>
</cp:coreProperties>
</file>