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Three categories of debt securities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9 · from section Investments in Debt and Equity Securities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debt security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 الآخر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equity security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trading securities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أوراق مالية بغرض المتاجرة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available-for-sale (AFS) securities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أوراق مالية محتفظ بها حتى تاريخ الاستحقاق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held-to-maturity (HTM) securities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أداة دين (سند)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أوراق مالية متاحة للبيع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comprehensive income (OCI)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أداة حقوق ملكية (أسهم)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العادلة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debt security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effective-interest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equity security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fair value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measurement alternative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reclassification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significant influence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gives its holder a right to interest and to repayment, like a bond.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gives an ownership interest, like shares of common stock.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company may also elect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option for a security when it first recognizes it.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Balance sheet 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Unrealized gains and losses go to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On sale, OCI is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Trading (debt)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Fair value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Net income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Available-for-sale (debt)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Reclassified to net income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Held-to-maturity (debt)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Not recognized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Equity, no significant influence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Equity, no readily determinable fair value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On sale, OCI is? Write one letter beside each item:  R = Reclassified to net income · — = —.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Trading (debt)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Available-for-sale (debt)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Held-to-maturity (debt)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24  </w:t>
      </w:r>
      <w:r>
        <w:rPr>
          <w:sz w:val="18"/>
          <w:szCs w:val="18"/>
        </w:rPr>
        <w:t xml:space="preserve">Equity, no significant influence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25  </w:t>
      </w:r>
      <w:r>
        <w:rPr>
          <w:sz w:val="18"/>
          <w:szCs w:val="18"/>
        </w:rPr>
        <w:t xml:space="preserve">Equity, no readily determinable fair value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26  </w:t>
      </w:r>
      <w:r>
        <w:rPr>
          <w:sz w:val="18"/>
          <w:szCs w:val="18"/>
        </w:rPr>
        <w:t xml:space="preserve">Equity method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26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Orontes buys a bond and plans to sell it if interest rates fall or if it needs cash. How should it classify the bond?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Held-to-maturity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Trading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Available-for-sale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securities can be classified as held-to-maturity?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Debt securities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Equity securities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debt and equity securities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Any security with a fixed maturity date or a dividend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Use the Orontes bond. What is interest revenue for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864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5,136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At year-end, the fair value of an available-for-sale bond is below its amortized cost. There is no credit loss. Where is the decline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Nowhere; AFS stays at amortized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Directly in 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other comprehensive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Use Case B of the fair-value floor example. What allowance for credit losses is recorded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An AFS bond is below amortized cost, and the company intends to sell it before it recovers. What is the treatment?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Record an allowance for the credit part only.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Write the bond down to fair value through net income.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 the whole decline in OCI.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 nothing until the sale.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Orontes holds 3% of a listed company's shares. How are changes in their fair value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other comprehensive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 at all; the shares stay at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Under the equity method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Shares without significant influence are measured at fair value through net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Cost + share of income − extra depreciation − dividends.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Nothing, because the sale was for a business reason.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Record an allowance for the credit part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Both HTM and AFS use the same CECL allowance with no limit.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Measuring trading debt at fair value through profit or loss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Since ASU 2016-07 the change is applied prospectively.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40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Measuring debt securities · Equity securities and the equity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9 · from section Investments in Debt and Equity Securities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effective-interest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بديل القياس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أو خسارة حيازة غير محققة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option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حقوق الملكية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unrealized holding gain or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علاوة إصدار السند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premium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المستثمر فيها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الفائدة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significant influence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الأساس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التأثير الجوهري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measurement alternative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خيار القيمة العادلة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basis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إصدار السند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basis difference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effective-interest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fair value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measurement alternative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reclassification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significant influence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trading securities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Trading and AFS securities are reported at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: the price the company would receive if it sold the security in an orderly transaction.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Under the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          </w:t>
      </w:r>
      <w:r>
        <w:rPr>
          <w:sz w:val="20"/>
          <w:szCs w:val="20"/>
        </w:rPr>
        <w:t xml:space="preserve">, interest revenue for each year is the carrying amount at the start of the year multiplied by the market rate at purchase.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Selling an AFS security: the </w:t>
      </w:r>
      <w:r>
        <w:rPr>
          <w:vertAlign w:val="superscript"/>
          <w:color w:val="353A7C"/>
          <w:b/>
          <w:sz w:val="15"/>
        </w:rPr>
        <w:t>13</w:t>
      </w:r>
      <w:r>
        <w:rPr>
          <w:u w:val="single"/>
          <w:sz w:val="20"/>
          <w:szCs w:val="20"/>
        </w:rPr>
        <w:t xml:space="preserve">                                           </w:t>
      </w:r>
      <w:r>
        <w:rPr>
          <w:sz w:val="20"/>
          <w:szCs w:val="20"/>
        </w:rPr>
        <w:t xml:space="preserve"> While Orontes holds an AFS bond, its unrealized gains and losses build up in accumulated OCI, part of equity.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Cash interest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Interest revenue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Premium amortized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Amortized cost, end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2025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5,136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864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101,859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2026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907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100,952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2027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5,048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debt security should be classified as held-to-maturity only if the company has: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positive intent and the ability to hold it until maturity.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plan to sell it within the next year.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bought it at a discount.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fair value option.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sells a large part of its held-to-maturity portfolio because it needs cash. What is the MOST likely consequence?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Nothing, because the sale was for a business reason.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gain on the sale goes to OCI.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Its remaining HTM securities are tainted and should be reclassified.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securities are reclassified as trading at cost.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Use the Orontes bond. What is the amortized cost at December 31,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101,000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101,859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102,723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Orontes classifies the bond as trading. What amount is reported in 2025 net income for the change in fair value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loss of 2,723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loss of 859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amount; it goes to OCI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gain of 859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sells its AFS bond at the end of 2026. Which amount goes to net income as a realized gain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548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859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1,407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How is a held-to-maturity bond reported on the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fair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face value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At cost, with no amortization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At amortized cost, net of any allowance for credit losses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Cost minus the premium amortized in 2025.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With an intent to sell, the whole decline goes to net income as a write-down.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no plan to sell it within the next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Amortized cost for debt held to collect cash flows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HTM follows CECL; AFS uses an allowance capped by the fair-value floor.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Beginning carrying amount × market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Sale price minus amortized cost; the accumulated OCI is reclassified.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effective-interest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بديل القياس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خيار القيمة العادلة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option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الأساس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unrealized holding gain or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علاوة إصدار السند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premium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الفائدة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المستثمر فيها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significant influence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حقوق الملكية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التأثير الجوهري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measurement alternative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إصدار السند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basis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أو خسارة حيازة غير محققة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basis difference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effective-interest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equity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investee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measurement alternative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reclassification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significant influence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trading securities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For shares, the key question is how much influence the investor has over the </w:t>
      </w:r>
      <w:r>
        <w:rPr>
          <w:vertAlign w:val="superscript"/>
          <w:color w:val="353A7C"/>
          <w:b/>
          <w:sz w:val="15"/>
        </w:rPr>
        <w:t>42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, the company whose shares it holds.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Influence spectrum: fair value, the </w:t>
      </w:r>
      <w:r>
        <w:rPr>
          <w:vertAlign w:val="superscript"/>
          <w:color w:val="353A7C"/>
          <w:b/>
          <w:sz w:val="15"/>
        </w:rPr>
        <w:t>43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or consolidation, by share of voting stock.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No </w:t>
      </w:r>
      <w:r>
        <w:rPr>
          <w:vertAlign w:val="superscript"/>
          <w:color w:val="353A7C"/>
          <w:b/>
          <w:sz w:val="15"/>
        </w:rPr>
        <w:t>44</w:t>
      </w:r>
      <w:r>
        <w:rPr>
          <w:u w:val="single"/>
          <w:sz w:val="20"/>
          <w:szCs w:val="20"/>
        </w:rPr>
        <w:t xml:space="preserve">                                  </w:t>
      </w:r>
      <w:r>
        <w:rPr>
          <w:sz w:val="20"/>
          <w:szCs w:val="20"/>
        </w:rPr>
        <w:t xml:space="preserve">: fair value through net income Shares with a readily determinable fair value are measured at fair value, and all changes go to net income.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45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of $300,000 has two parts: $30,000 for Orontes's share of equipment worth more than its book value, which is depreciated over 10 years ($3,000 a year), and $270,000 of goodwill, which is not amortized.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45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9.3 · Investments in Debt and Equity Securities: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9 · from section Investments in Debt and Equity Securities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Investment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Trading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statement about credit losses on debt securities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AFS allowances are limited to amortized cost minus fair value; HTM allowances have no such limit.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Both HTM and AFS use the same CECL allowance with no limit.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Neither category records credit losses until a default.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AFS credit losses go to OCI.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Orontes bought listed shares for $20,000. At year-end they are worth $23,500, and Orontes received dividends of $400. What is the total effect on net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3,900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A company holds shares of a private company with no readily determinable fair value. Which measurement may it elect?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Available-for-sale with changes in OCI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minus impairment, adjusted for observable price changes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Held-to-maturity at amortized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equity method, whatever its influence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Orontes owns 15% of a company and holds two of its seven board seats. It takes part in setting its policies. Which method is MOST likely?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equity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Fair value through net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Consolidation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Available-for-sale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Use the Jordan Glass example. What is the investment balance at December 31,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1,287,000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1,290,000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1,347,000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1,637,000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Under the equity method, the part of the basis difference assigned to goodwill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amortized over ten years.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expensed immediately.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the investor's own goodwill account.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amortized.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AFS credit losses go to OCI.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Unrealized gain plus dividend income; both go to net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The gain on the sale goes to OCI.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It is not bought to trade in the near term, and the possible sales rule out HTM.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Nowhere; AFS stays at amortized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added to the investor's own goodwill account.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It keeps fair value through net income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effective-interest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بديل القياس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أو خسارة حيازة غير محققة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option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حقوق الملكية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unrealized holding gain or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علاوة إصدار السند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premium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المستثمر فيها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الفائدة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significant influence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الأساس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التأثير الجوهري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measurement alternative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خيار القيمة العادلة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basis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إصدار السند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unrealized holding gain (or loss) reported in 2025 NET INCOME for investments A to 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amount reported in 2025 OTHER COMPREHENSIVE INCOME (show a loss in parentheses).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carrying amount of investment E at December 31, 2025.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equity-method income from investment E for 2025.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An investor first gains significant influence by buying more shares. How does it apply the equity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Retroactively, restating all prior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from the next fiscal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keeps fair value through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From the date it gains influence, with no restatement of prior years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Which option exists under IFRS 9 but NOT under U.S. GAAP?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Measuring trading debt at fair value through profit or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irrevocable election to put fair value changes on shares in OCI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equity method for associates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Amortized cost for debt held to collect cash flows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Spiral review (Chapter 1). Interest revenue on a bond is recognized each year even when the premium makes the cash received higher than the revenue. Which basis does this follow?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cash basis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direct write-off method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accrual basis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Immediate recognition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Spiral review (Chapter 6). Which debt investments follow the same CECL model as trade receivables?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Held-to-maturity securities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Trading securities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Available-for-sale securities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Shares measured at fair value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34   ·   </w:t>
      </w:r>
      <w:r>
        <w:rPr>
          <w:color w:val="FFFFFF"/>
          <w:sz w:val="15"/>
          <w:szCs w:val="15"/>
        </w:rPr>
        <w:t xml:space="preserve">fewer than 5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effective-interest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بديل القياس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equity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خيار القيمة العادلة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option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الأساس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unrealized holding gain or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علاوة إصدار السند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premium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الفائدة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bond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المنشأة المستثمر فيها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significant influence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حقوق الملكية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التأثير الجوهري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measurement alternative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إصدار السند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basis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مكسب أو خسارة حيازة غير محققة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35 to 44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Three categories of debt securities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Measuring debt securities · Equity securities and the equity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9.3 · Investments in Debt and Equity Securities: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9</dc:title>
  <dc:subject>Investments in Debt and Equity Securities</dc:subject>
  <cp:category>Student Book</cp:category>
</cp:coreProperties>
</file>