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cost of property, plant and equipment · Long-Lived Assets: Depreciation, Disposal and Impairment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Highest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Follows 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effect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capital expenditure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effect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 expenditure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capitalized interest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10.1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10.1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10.1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Installation and testing are needed to get the machine ready for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Avoidable interest, which is below the actual interest incurred.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40% × beginning book value of $720,000.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It is a change in accounting estimate.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Expense follows the actual kilometres driven.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Most of its benefit comes in the early years.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Depreciation methods and their effects · Long-Lived Assets: Depreciation, Disposal and Impairment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depreciable base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useful life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salvage value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324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is not reversed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old building is removed; it has no future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cost relates to preparing the site, which is part of land.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recoverability step does not apply to indefinite-lived intangibles.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Reinvestment does not defer the gain under U.S. GAAP.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Recoverable amount is the HIGHER of the two.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section 10.2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10.2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10.2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Proceeds minus the carrying amount after depreciation to the sale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Disposals of fixed assets are peripheral activities.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Recoverability fails, so the loss is carrying amount minus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Retained earnings are adjusted only for error corrections.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Depreciation stops.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This reverses the effect.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Disposal of fixed assets · and 1 more section · Long-Lived Assets: Depreciation, Disposal and Impairment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carrying amount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carrying amount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involuntary conversion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asset group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commercial substance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recoverability test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impairment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10.4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10.4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10.4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Demolition prepares the land for its intended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350,000  Depreciable base × 5/15.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rate is applied to cost; salvage is not subtracted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Early expense is higher, so income and book value are lower.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(Current book value − new salvage) ÷ remaining life.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Cost minus proceeds is charged to accumulated depreciation for the group.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Depreciation is non-cash; only taxes can change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No catch-up adjustment is made for a change in estimate.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There is no partial capitalization.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There is no restatement.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Ordinary repairs after use begins are expenses.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Impairment of long-lived assets, intangibles and goodwill · part 2 · Long-Lived Assets: Depreciation, Disposal and Impairment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amortization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reporting unit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goodwill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Expense then follows the actual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Carrying amount = 50,000 − 30,000 − 2,000 = 18,000; 17,000 − 18,000 = a loss of 1,000.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Involuntary conversions produce a gain or loss even if the proceeds are reinvested.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Undiscounted cash flows exceed the carrying amount, so the asset is recoverable.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Held-for-sale assets stop being depreciated and are carried at the lower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Indefinite-lived intangibles compare carrying amount with fair value directly.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section 10.5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section 10.5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10.5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Single-step test under ASU 2017-04.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U.S. GAAP expenses R&amp;D as incurred (ASC 730); the IAS 38 criteria do not apply.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IAS 36 allows reversals except for goodwill.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Accumulated depreciation reduces assets; the expense reduces equity through net income.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10 · Answer Keys</dc:title>
  <dc:subject>Long-Lived Assets: Depreciation, Disposal and Impairment</dc:subject>
  <cp:category>Student Book</cp:category>
</cp:coreProperties>
</file>