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Steps 3 and 4: the transaction price and its allocation · and 1 more section · Revenue Recognition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Fulfillment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transaction price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consideration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output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Performance obligation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 time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Reduces the transaction price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contract asset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Reduces the transaction price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Control transfer is the core principle.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Each step uses the result of the one before.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U.S. probable means likely, a higher level than 55%.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Consideration payable to a customer reduces revenue unless it buys a distinct good or service.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Payment before performance creates a contract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consignee does not control the goods; the sale happens when they are sold 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Incremental costs of obtaining a contract are capitalized if recoverable; the period is more than one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is not a default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There is no size limit.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No pricing discretion suggests an agent.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A fixed commission suggests an agent.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Special situations · Revenue Recognition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agent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refund liability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 a reduction of 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principal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 performance obligation is a distinct promise.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Oil delivered + dispenser + three months of maintenance, all at allocated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Nonrefundable does not mean earned.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Payment timing does not define obligations.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Timing follows control, not a calendar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Revenue comes from main activities with customers.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Revenue follows the transfer of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Inventory risk shows control before transfer.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Payment is not one of the bill-and-hold criteria.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 repurchase at or above the original price means control has not passed.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Special situations · part 2 · Revenue Recognition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bill-and-hold arrangement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material right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breakage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This is one of the criteria.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This is one of the criteria.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More likely than not is the IFRS 15 meaning.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section 11.5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fee relates to future services, not to a distinct service at signing.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practical expedient applies only when the gap is one year or less.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Amounts collected for third parties are not revenue.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residual approach is a limited exception.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first over-time criterion is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builder improves an asset the customer controls.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Input methods measure the company's efforts.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Its right to payment depends on something other than time.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11 · Answer Keys</dc:title>
  <dc:subject>Revenue Recognition</dc:subject>
  <cp:category>Student Book</cp:category>
</cp:coreProperties>
</file>