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12.1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Warranties · Current Liabilities and Warranties · 37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Split between current and noncurrent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Current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18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assurance-type warranty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12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warranty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713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service-type warranty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current in full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Noncurrent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Current liability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12.5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12.5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12.5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Short-term liabilities are measured at the amount to be paid.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The employer's own social security: 7% of $40,000.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It gives only assurance, not an extra service.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Deposits are contract liabilities.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This agreement qualifies.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12.2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Current Liabilities and Warranties: exam practice · Current Liabilities and Warranties · 24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   </w:t>
      </w:r>
      <w:r>
        <w:rPr>
          <w:sz w:val="15"/>
          <w:szCs w:val="15"/>
        </w:rPr>
        <w:t xml:space="preserve">Debt principal is a financing item.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   </w:t>
      </w:r>
      <w:r>
        <w:rPr>
          <w:sz w:val="15"/>
          <w:szCs w:val="15"/>
        </w:rPr>
        <w:t xml:space="preserve">Short-term debt can be noncurrent if refinanced properly.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6   </w:t>
      </w:r>
      <w:r>
        <w:rPr>
          <w:sz w:val="15"/>
          <w:szCs w:val="15"/>
        </w:rPr>
        <w:t xml:space="preserve">Repairs are probable and estimable, so they are accrued.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8   </w:t>
      </w:r>
      <w:r>
        <w:rPr>
          <w:sz w:val="15"/>
          <w:szCs w:val="15"/>
        </w:rPr>
        <w:t xml:space="preserve">It is not the employer's own tax.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No assets will be paid for a stock dividend.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Total = sales × 1.05, so sales = 10,500 ÷ 1.05.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The employer holds the amount for the government.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15   </w:t>
      </w:r>
      <w:r>
        <w:rPr>
          <w:sz w:val="15"/>
          <w:szCs w:val="15"/>
        </w:rPr>
        <w:t xml:space="preserve">Nonvesting, nonaccumulating sick pay need not be accrued.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Amounts owed to the state are not breakage; they remain a liability.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Both intent and demonstrated ability are required.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U.S. GAAP counts refinancing before issuance.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Repairing existing defects is assurance.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Trade payables are at the amount owed, not fair value.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Service-type warranties are not accrued as costs.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12.3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Current Liabilities and Warranties: exam practice · part 2 · Current Liabilities and Warranties · 24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A subjective acceleration clause makes the agreement fail.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The rule does not apply to trade payables and accruals in the operating cycle.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The refinancing happened after the statements were issued.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ASC 470 requires this disclosure.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Only the amount refinanced is noncurrent.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The right to defer did not exist at the reporting date.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18   </w:t>
      </w:r>
      <w:r>
        <w:rPr>
          <w:sz w:val="15"/>
          <w:szCs w:val="15"/>
        </w:rPr>
        <w:t xml:space="preserve">A separately sold warranty is a service-type performance obligation.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19   </w:t>
      </w:r>
      <w:r>
        <w:rPr>
          <w:sz w:val="15"/>
          <w:szCs w:val="15"/>
        </w:rPr>
        <w:t xml:space="preserve">Accrual of $24,000 minus $9,000 of repairs.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Long coverage suggests an extra service.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21   </w:t>
      </w:r>
      <w:r>
        <w:rPr>
          <w:sz w:val="15"/>
          <w:szCs w:val="15"/>
        </w:rPr>
        <w:t xml:space="preserve">Matching: the cost belongs to the revenue it supports.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ASC 606 treats an inseparable combination as a single obligation.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IAS 37 uses a lower threshold than the U.S. 'probable'.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Gross wages plus the employer's social security.</w:t>
      </w:r>
    </w:p>
    <w:p/>
    <w:p>
      <w:pPr>
        <w:sectPr>
          <w:headerReference w:type="default" r:id="rIdHdr3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3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12.1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12.2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12.3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Relationship Id="rIdHdr3" Target="header3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12 · Answer Keys</dc:title>
  <dc:subject>Current Liabilities and Warranties</dc:subject>
  <cp:category>Student Book</cp:category>
</cp:coreProperties>
</file>